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FCA0CB" w14:textId="77777777" w:rsidR="00A955FE" w:rsidRDefault="00A955FE">
      <w:r w:rsidRPr="00182D4D">
        <w:rPr>
          <w:i/>
        </w:rPr>
        <w:t>The Claim of Reason</w:t>
      </w:r>
      <w:r>
        <w:t>—</w:t>
      </w:r>
      <w:r w:rsidR="00C45743">
        <w:t>Source Material</w:t>
      </w:r>
    </w:p>
    <w:p w14:paraId="4FB14AFC" w14:textId="77777777" w:rsidR="00A955FE" w:rsidRDefault="00A955FE"/>
    <w:p w14:paraId="5F968B13" w14:textId="77777777" w:rsidR="00A955FE" w:rsidRDefault="00A955FE"/>
    <w:p w14:paraId="2D623677" w14:textId="77777777" w:rsidR="00A955FE" w:rsidRDefault="00A955FE" w:rsidP="00A955FE">
      <w:r>
        <w:t>1. Title Part Four</w:t>
      </w:r>
    </w:p>
    <w:p w14:paraId="2BD02F8D" w14:textId="77777777" w:rsidR="00A955FE" w:rsidRDefault="00A955FE" w:rsidP="00A955FE"/>
    <w:p w14:paraId="6CBCF02A" w14:textId="77777777" w:rsidR="00A955FE" w:rsidRDefault="00A955FE" w:rsidP="00A955FE">
      <w:r>
        <w:t xml:space="preserve">Example Set 1 </w:t>
      </w:r>
    </w:p>
    <w:p w14:paraId="27566116" w14:textId="77777777" w:rsidR="00A955FE" w:rsidRDefault="00A955FE" w:rsidP="00A955FE"/>
    <w:p w14:paraId="37D75D23" w14:textId="77777777" w:rsidR="00A955FE" w:rsidRDefault="00A955FE" w:rsidP="00A955FE">
      <w:pPr>
        <w:ind w:firstLine="720"/>
      </w:pPr>
      <w:r w:rsidRPr="006E1B78">
        <w:rPr>
          <w:rFonts w:ascii="Apple Casual" w:hAnsi="Apple Casual"/>
        </w:rPr>
        <w:t>Skepticism and the Problem of Others</w:t>
      </w:r>
      <w:r>
        <w:t xml:space="preserve"> </w:t>
      </w:r>
      <w:r w:rsidR="00182D4D">
        <w:t>(327)</w:t>
      </w:r>
    </w:p>
    <w:p w14:paraId="5C1CE0E1" w14:textId="77777777" w:rsidR="00A955FE" w:rsidRDefault="00A955FE" w:rsidP="00A955FE">
      <w:pPr>
        <w:ind w:firstLine="720"/>
      </w:pPr>
      <w:r>
        <w:t xml:space="preserve"> </w:t>
      </w:r>
    </w:p>
    <w:p w14:paraId="5AEBF76C" w14:textId="77777777" w:rsidR="00BF6A5E" w:rsidRDefault="00A955FE" w:rsidP="00A955FE">
      <w:pPr>
        <w:ind w:firstLine="720"/>
      </w:pPr>
      <w:r w:rsidRPr="006E1B78">
        <w:rPr>
          <w:rFonts w:ascii="Apple Casual" w:hAnsi="Apple Casual"/>
        </w:rPr>
        <w:t xml:space="preserve">I knew reasonably soon thereafter and reasonably well that my fascination with the </w:t>
      </w:r>
      <w:r w:rsidRPr="006E1B78">
        <w:rPr>
          <w:rFonts w:ascii="Apple Casual" w:hAnsi="Apple Casual"/>
          <w:i/>
        </w:rPr>
        <w:t>Investigations</w:t>
      </w:r>
      <w:r w:rsidRPr="006E1B78">
        <w:rPr>
          <w:rFonts w:ascii="Apple Casual" w:hAnsi="Apple Casual"/>
        </w:rPr>
        <w:t xml:space="preserve"> had to do with my response to it as a feat of writing. It was some years before I understood it as what I came to think of as a</w:t>
      </w:r>
      <w:bookmarkStart w:id="0" w:name="_GoBack"/>
      <w:bookmarkEnd w:id="0"/>
      <w:r w:rsidRPr="006E1B78">
        <w:rPr>
          <w:rFonts w:ascii="Apple Casual" w:hAnsi="Apple Casual"/>
        </w:rPr>
        <w:t xml:space="preserve"> discovery for philosophy of the problem of the other; and further years before these issues looked to me like functions of one another.</w:t>
      </w:r>
      <w:r>
        <w:t xml:space="preserve"> </w:t>
      </w:r>
      <w:r w:rsidR="00182D4D">
        <w:t>(xiii)</w:t>
      </w:r>
    </w:p>
    <w:p w14:paraId="297FC25A" w14:textId="77777777" w:rsidR="00BF6A5E" w:rsidRDefault="00BF6A5E" w:rsidP="00BF6A5E"/>
    <w:p w14:paraId="254FC18D" w14:textId="77777777" w:rsidR="00A955FE" w:rsidRPr="00D44BC9" w:rsidRDefault="00BF6A5E" w:rsidP="00BF6A5E">
      <w:r>
        <w:rPr>
          <w:color w:val="FF0000"/>
        </w:rPr>
        <w:tab/>
      </w:r>
      <w:r w:rsidRPr="00A1696F">
        <w:rPr>
          <w:rFonts w:ascii="Apple Casual" w:hAnsi="Apple Casual"/>
        </w:rPr>
        <w:t xml:space="preserve">How might saying “Pumpkin” and pointing to a pumpkin not be “telling the child what the word means”? There are many sorts of answers to that. One might be: it takes two to </w:t>
      </w:r>
      <w:r w:rsidRPr="00A1696F">
        <w:rPr>
          <w:rFonts w:ascii="Apple Casual" w:hAnsi="Apple Casual"/>
          <w:i/>
        </w:rPr>
        <w:t>tell</w:t>
      </w:r>
      <w:r w:rsidRPr="00A1696F">
        <w:rPr>
          <w:rFonts w:ascii="Apple Casual" w:hAnsi="Apple Casual"/>
        </w:rPr>
        <w:t xml:space="preserve"> someone something; you can’t give someone a piece of information unless he knows how to </w:t>
      </w:r>
      <w:r w:rsidRPr="00A1696F">
        <w:rPr>
          <w:rFonts w:ascii="Apple Casual" w:hAnsi="Apple Casual"/>
          <w:i/>
        </w:rPr>
        <w:t>ask</w:t>
      </w:r>
      <w:r w:rsidRPr="00A1696F">
        <w:rPr>
          <w:rFonts w:ascii="Apple Casual" w:hAnsi="Apple Casual"/>
        </w:rPr>
        <w:t xml:space="preserve"> for that (or comparable) information. (Cf. </w:t>
      </w:r>
      <w:r w:rsidRPr="00A1696F">
        <w:rPr>
          <w:rFonts w:ascii="Apple Casual" w:hAnsi="Apple Casual"/>
          <w:i/>
        </w:rPr>
        <w:t>Investigations</w:t>
      </w:r>
      <w:r w:rsidRPr="00A1696F">
        <w:rPr>
          <w:rFonts w:ascii="Apple Casual" w:hAnsi="Apple Casual"/>
        </w:rPr>
        <w:t>, #31)</w:t>
      </w:r>
      <w:r w:rsidR="00D44BC9" w:rsidRPr="00A1696F">
        <w:rPr>
          <w:rFonts w:ascii="Apple Casual" w:hAnsi="Apple Casual"/>
        </w:rPr>
        <w:t xml:space="preserve"> And this is no more true of learning language than it is true of learning any of the forms of life which grow language.</w:t>
      </w:r>
      <w:r w:rsidRPr="00D44BC9">
        <w:t xml:space="preserve"> (170)</w:t>
      </w:r>
    </w:p>
    <w:p w14:paraId="7FC1034E" w14:textId="77777777" w:rsidR="00A955FE" w:rsidRDefault="00A955FE" w:rsidP="00A955FE"/>
    <w:p w14:paraId="2AA8B34F" w14:textId="77777777" w:rsidR="00A955FE" w:rsidRDefault="00C45743" w:rsidP="00A955FE">
      <w:r>
        <w:t>2. Criteria/</w:t>
      </w:r>
      <w:r w:rsidR="00A955FE">
        <w:t xml:space="preserve">Disappointment </w:t>
      </w:r>
    </w:p>
    <w:p w14:paraId="24F3ADCD" w14:textId="77777777" w:rsidR="00A955FE" w:rsidRDefault="00A955FE" w:rsidP="00A955FE"/>
    <w:p w14:paraId="335F4B9E" w14:textId="77777777" w:rsidR="00A955FE" w:rsidRDefault="00A955FE" w:rsidP="00A955FE">
      <w:r>
        <w:t xml:space="preserve">Example Set 2 </w:t>
      </w:r>
    </w:p>
    <w:p w14:paraId="69E4C470" w14:textId="77777777" w:rsidR="00A955FE" w:rsidRDefault="00A955FE" w:rsidP="00A955FE">
      <w:pPr>
        <w:ind w:firstLine="720"/>
        <w:rPr>
          <w:rFonts w:ascii="Apple Casual" w:hAnsi="Apple Casual"/>
        </w:rPr>
      </w:pPr>
    </w:p>
    <w:p w14:paraId="0850E6F1" w14:textId="77777777" w:rsidR="00A955FE" w:rsidRDefault="00A955FE" w:rsidP="00A955FE">
      <w:pPr>
        <w:ind w:firstLine="720"/>
      </w:pPr>
      <w:r>
        <w:rPr>
          <w:rFonts w:ascii="Apple Casual" w:hAnsi="Apple Casual"/>
        </w:rPr>
        <w:t xml:space="preserve">In tracing our disappointment with criteria, in denying that Wittgensteinian criteria can, or are meant to, refute skepticism, I seem, in my remarks about the problem of other minds, to have left the other’s privacy intact. And doesn’t Wittgenstein deny privacy? What else is the teaching of his obsessive emphasis on the publicness of language and on the outwardness of criteria? I have suggested that the teaching is in service of a vision that false views of the inner and of the outer produce and sustain one another, and I would be glad to have suggested that the correct relation between inner and outer, between soul and its society, is the theme of the </w:t>
      </w:r>
      <w:r w:rsidRPr="00884065">
        <w:rPr>
          <w:rFonts w:ascii="Apple Casual" w:hAnsi="Apple Casual"/>
          <w:i/>
        </w:rPr>
        <w:t>Investigations</w:t>
      </w:r>
      <w:r>
        <w:rPr>
          <w:rFonts w:ascii="Apple Casual" w:hAnsi="Apple Casual"/>
        </w:rPr>
        <w:t xml:space="preserve"> as a whole. This theme, I might say, provides its moral.</w:t>
      </w:r>
      <w:r>
        <w:t xml:space="preserve"> </w:t>
      </w:r>
      <w:r w:rsidR="00182D4D">
        <w:t>(329)</w:t>
      </w:r>
    </w:p>
    <w:p w14:paraId="22B84E65" w14:textId="77777777" w:rsidR="00A955FE" w:rsidRDefault="00A955FE" w:rsidP="00A955FE">
      <w:pPr>
        <w:ind w:firstLine="720"/>
        <w:rPr>
          <w:rFonts w:ascii="Apple Casual" w:hAnsi="Apple Casual"/>
        </w:rPr>
      </w:pPr>
    </w:p>
    <w:p w14:paraId="13A43DEE" w14:textId="77777777" w:rsidR="00B07AC1" w:rsidRDefault="00A955FE" w:rsidP="00A955FE">
      <w:pPr>
        <w:ind w:firstLine="720"/>
      </w:pPr>
      <w:r>
        <w:rPr>
          <w:rFonts w:ascii="Apple Casual" w:hAnsi="Apple Casual"/>
        </w:rPr>
        <w:t>It is, of course, not hard to make out tha</w:t>
      </w:r>
      <w:r w:rsidR="00654978">
        <w:rPr>
          <w:rFonts w:ascii="Apple Casual" w:hAnsi="Apple Casual"/>
        </w:rPr>
        <w:t>t the notion of a criterion is “important”</w:t>
      </w:r>
      <w:r>
        <w:rPr>
          <w:rFonts w:ascii="Apple Casual" w:hAnsi="Apple Casual"/>
        </w:rPr>
        <w:t xml:space="preserve"> in the </w:t>
      </w:r>
      <w:r w:rsidRPr="0059244C">
        <w:rPr>
          <w:rFonts w:ascii="Apple Casual" w:hAnsi="Apple Casual"/>
          <w:i/>
        </w:rPr>
        <w:t>Investigations</w:t>
      </w:r>
      <w:r>
        <w:rPr>
          <w:rFonts w:ascii="Apple Casual" w:hAnsi="Apple Casual"/>
        </w:rPr>
        <w:t>. Wittgenstein characterizes his investigations as grammatical ones, and an essential feature of such investigations is the eliciting of what he calls criteria. His explicit characterizations of these notions are as obscure as any obscurity he permits himself (and he is</w:t>
      </w:r>
      <w:r w:rsidR="00C45743">
        <w:rPr>
          <w:rFonts w:ascii="Apple Casual" w:hAnsi="Apple Casual"/>
        </w:rPr>
        <w:t>, about that, quite tolerant): “</w:t>
      </w:r>
      <w:r>
        <w:rPr>
          <w:rFonts w:ascii="Apple Casual" w:hAnsi="Apple Casual"/>
        </w:rPr>
        <w:t xml:space="preserve">Grammar tells </w:t>
      </w:r>
      <w:r w:rsidR="00C45743">
        <w:rPr>
          <w:rFonts w:ascii="Apple Casual" w:hAnsi="Apple Casual"/>
        </w:rPr>
        <w:t>what kind of object anything is” (#373); “Essence is expressed by grammar” (#371); “</w:t>
      </w:r>
      <w:r>
        <w:rPr>
          <w:rFonts w:ascii="Apple Casual" w:hAnsi="Apple Casual"/>
        </w:rPr>
        <w:t>An ‘inner process’ stands in ne</w:t>
      </w:r>
      <w:r w:rsidR="00C45743">
        <w:rPr>
          <w:rFonts w:ascii="Apple Casual" w:hAnsi="Apple Casual"/>
        </w:rPr>
        <w:t>ed of outward criteria”</w:t>
      </w:r>
      <w:r>
        <w:rPr>
          <w:rFonts w:ascii="Apple Casual" w:hAnsi="Apple Casual"/>
        </w:rPr>
        <w:t xml:space="preserve"> (#580). Such obscurity may be a fault in a philosopher. But the greater the attachment to a concept (as to a person, or to a god), the harder it may be to explain </w:t>
      </w:r>
      <w:r>
        <w:rPr>
          <w:rFonts w:ascii="Apple Casual" w:hAnsi="Apple Casual"/>
        </w:rPr>
        <w:lastRenderedPageBreak/>
        <w:t>either the attachment or the concept; or perhaps it should be said that everything one does is, or could be, the only explanation of it.</w:t>
      </w:r>
      <w:r w:rsidR="00CC2C7C">
        <w:rPr>
          <w:rFonts w:ascii="Apple Casual" w:hAnsi="Apple Casual"/>
        </w:rPr>
        <w:t xml:space="preserve"> </w:t>
      </w:r>
      <w:r w:rsidR="00B07AC1">
        <w:t>(6)</w:t>
      </w:r>
    </w:p>
    <w:p w14:paraId="1EE880A5" w14:textId="77777777" w:rsidR="00A955FE" w:rsidRPr="00B07AC1" w:rsidRDefault="00A955FE" w:rsidP="00A955FE">
      <w:pPr>
        <w:ind w:firstLine="720"/>
      </w:pPr>
    </w:p>
    <w:p w14:paraId="589C01B9" w14:textId="77777777" w:rsidR="00A955FE" w:rsidRDefault="00A955FE" w:rsidP="00A955FE">
      <w:pPr>
        <w:ind w:firstLine="720"/>
      </w:pPr>
      <w:r>
        <w:rPr>
          <w:rFonts w:ascii="Apple Casual" w:hAnsi="Apple Casual"/>
        </w:rPr>
        <w:t xml:space="preserve">Then let us ask: What are Wittgensteinian criteria supposed to do? On the part both of those who wish to defend Wittgenstein and those who wish to attack him, it is taken, roughly, that his criteria are supposed to be the means by which the existence of something is established with certainty—in perhaps the most famous case, that the criteria of pain (outward criteria of course) are the means by which we can know with certainty that another is in pain (that what we say is going on in the other really is now going on there.) The two most forceful presentations of this view remain, for me, that of Norman Malcolm in his early and important review of the </w:t>
      </w:r>
      <w:r w:rsidRPr="00B81011">
        <w:rPr>
          <w:rFonts w:ascii="Apple Casual" w:hAnsi="Apple Casual"/>
          <w:i/>
        </w:rPr>
        <w:t>Investigations</w:t>
      </w:r>
      <w:r>
        <w:rPr>
          <w:rFonts w:ascii="Apple Casual" w:hAnsi="Apple Casual"/>
        </w:rPr>
        <w:t>, and that of Rogers Albrit</w:t>
      </w:r>
      <w:r w:rsidR="00C45743">
        <w:rPr>
          <w:rFonts w:ascii="Apple Casual" w:hAnsi="Apple Casual"/>
        </w:rPr>
        <w:t>ton in his essay “</w:t>
      </w:r>
      <w:r>
        <w:rPr>
          <w:rFonts w:ascii="Apple Casual" w:hAnsi="Apple Casual"/>
        </w:rPr>
        <w:t>On Wittgenstei</w:t>
      </w:r>
      <w:r w:rsidR="00C45743">
        <w:rPr>
          <w:rFonts w:ascii="Apple Casual" w:hAnsi="Apple Casual"/>
        </w:rPr>
        <w:t>n’s Use of the Term ‘Criterion’”</w:t>
      </w:r>
      <w:r>
        <w:rPr>
          <w:rFonts w:ascii="Apple Casual" w:hAnsi="Apple Casual"/>
        </w:rPr>
        <w:t xml:space="preserve">. The permanent value of this view lies in its awareness that Wittgenstein’s teaching is everywhere controlled by a response to skepticism, or, as I will prefer to say, by a response to the threat of skepticism. The view takes Wittgenstein’s motivation with respect to skepticism as that of showing it to be false. (I do not, as will come out, take Malcolm and Albritton as agreeing on all significant points; just on these points about skepticism.) I might put it as the first phase of my argument to show that criteria cannot do this and, on my reading of the </w:t>
      </w:r>
      <w:r w:rsidRPr="00B81011">
        <w:rPr>
          <w:rFonts w:ascii="Apple Casual" w:hAnsi="Apple Casual"/>
          <w:i/>
        </w:rPr>
        <w:t>Investigations</w:t>
      </w:r>
      <w:r>
        <w:rPr>
          <w:rFonts w:ascii="Apple Casual" w:hAnsi="Apple Casual"/>
        </w:rPr>
        <w:t>, are not meant to. On the contrary, the fate of criteria, or their limitation, reveals, I should like to say, the truth of skepticism—though of course this may require a reinterpretation of what skepticism, is or threatens.</w:t>
      </w:r>
      <w:r>
        <w:t xml:space="preserve"> </w:t>
      </w:r>
      <w:r w:rsidR="00182D4D">
        <w:t>(6-7)</w:t>
      </w:r>
    </w:p>
    <w:p w14:paraId="73FAF07E" w14:textId="77777777" w:rsidR="00A955FE" w:rsidRDefault="00A955FE" w:rsidP="00A955FE"/>
    <w:p w14:paraId="7CE90D40" w14:textId="77777777" w:rsidR="00A955FE" w:rsidRDefault="00A955FE" w:rsidP="00A955FE">
      <w:r>
        <w:t xml:space="preserve">3. Privacy/Secrecy </w:t>
      </w:r>
    </w:p>
    <w:p w14:paraId="13AE5DA5" w14:textId="77777777" w:rsidR="00A955FE" w:rsidRDefault="00A955FE" w:rsidP="00A955FE"/>
    <w:p w14:paraId="234B2D21" w14:textId="77777777" w:rsidR="00A955FE" w:rsidRDefault="00A955FE" w:rsidP="00A955FE">
      <w:r>
        <w:t>Example Set 3</w:t>
      </w:r>
    </w:p>
    <w:p w14:paraId="160F0895" w14:textId="77777777" w:rsidR="00A955FE" w:rsidRDefault="00A955FE" w:rsidP="00A955FE"/>
    <w:p w14:paraId="59C8FB71" w14:textId="77777777" w:rsidR="00A955FE" w:rsidRDefault="00A955FE" w:rsidP="00A955FE">
      <w:pPr>
        <w:rPr>
          <w:rFonts w:ascii="Apple Casual" w:hAnsi="Apple Casual"/>
        </w:rPr>
      </w:pPr>
      <w:r>
        <w:rPr>
          <w:rFonts w:ascii="Apple Casual" w:hAnsi="Apple Casual"/>
        </w:rPr>
        <w:t xml:space="preserve">Wittgenstein does not deny that when I am in pain it is I who give it expression, or fail to—at all events, give it expression by expressing pain, I mean by expressing </w:t>
      </w:r>
      <w:r w:rsidRPr="00B81011">
        <w:rPr>
          <w:rFonts w:ascii="Apple Casual" w:hAnsi="Apple Casual"/>
          <w:i/>
        </w:rPr>
        <w:t>that</w:t>
      </w:r>
      <w:r>
        <w:rPr>
          <w:rFonts w:ascii="Apple Casual" w:hAnsi="Apple Casual"/>
        </w:rPr>
        <w:t xml:space="preserve"> pain. Surely it will not be denied that if I do not give it expression then others will not know of it. And it is hard not to think of this situation as one in which I </w:t>
      </w:r>
      <w:r w:rsidRPr="0021044A">
        <w:rPr>
          <w:rFonts w:ascii="Apple Casual" w:hAnsi="Apple Casual"/>
          <w:i/>
        </w:rPr>
        <w:t>alone</w:t>
      </w:r>
      <w:r>
        <w:rPr>
          <w:rFonts w:ascii="Apple Casual" w:hAnsi="Apple Casual"/>
        </w:rPr>
        <w:t xml:space="preserve"> know that I am in pain. Wittgenstein’s denial that I can properly be said to know seems to be something that compromises the soul’s privacy—as if privacy were a question of secrecy. If this is one’s idea of privacy, then Wittgenstein’s teaching on the subject of privacy will be understood as saying that we have no unutterable secrets; this will then simply mean that we have no unbridgeable privacy. Whereas I take his teaching on this point to be rather that what is accurate in the philosophical or metaphysical idea of privacy is not captured, or is made unrecognizable, by the idea of secrecy.  </w:t>
      </w:r>
    </w:p>
    <w:p w14:paraId="0E630A8D" w14:textId="77777777" w:rsidR="00A955FE" w:rsidRDefault="00A955FE" w:rsidP="00A955FE">
      <w:pPr>
        <w:rPr>
          <w:rFonts w:ascii="Apple Casual" w:hAnsi="Apple Casual"/>
        </w:rPr>
      </w:pPr>
      <w:r>
        <w:rPr>
          <w:rFonts w:ascii="Apple Casual" w:hAnsi="Apple Casual"/>
        </w:rPr>
        <w:tab/>
        <w:t>No one will insist that privacy and secrecy have nothing to do with one another; that is, no one will deny that a sense of secrecy captures, or enforces, a particular sense of privacy. But that sense of privacy ought, on its face, to seem of limited metaphysical interest, while possibly of pervasive political significance. A private conversation is one that I do not want others to hear, not one they necessarily cannot hear. My private entrance is one through which I can invite others; in principle, anyone in the world can be as well acquainted with it as I am. A private joke is a more significant case. It may be something I do not bother to explain, or something I wish to test or to hook you with; or it may be something I do not think anyone else will, or</w:t>
      </w:r>
      <w:r w:rsidR="00C45743">
        <w:rPr>
          <w:rFonts w:ascii="Apple Casual" w:hAnsi="Apple Casual"/>
        </w:rPr>
        <w:t xml:space="preserve"> will be able, to appreciate. (“Anyone else”</w:t>
      </w:r>
      <w:r>
        <w:rPr>
          <w:rFonts w:ascii="Apple Casual" w:hAnsi="Apple Casual"/>
        </w:rPr>
        <w:t xml:space="preserve"> may mean anyone other than me, or anyone other than the two of us, or anyone other than you, and you are gone.) It is hard to imagine Wittgenstein’s denying </w:t>
      </w:r>
      <w:r w:rsidRPr="00480CD5">
        <w:rPr>
          <w:rFonts w:ascii="Apple Casual" w:hAnsi="Apple Casual"/>
          <w:i/>
        </w:rPr>
        <w:t>this</w:t>
      </w:r>
      <w:r>
        <w:rPr>
          <w:rFonts w:ascii="Apple Casual" w:hAnsi="Apple Casual"/>
        </w:rPr>
        <w:t xml:space="preserve"> possibility, that one’s specialness may in fact go unappreciated by another. No doubt he would deny that it </w:t>
      </w:r>
      <w:r w:rsidRPr="00686442">
        <w:rPr>
          <w:rFonts w:ascii="Apple Casual" w:hAnsi="Apple Casual"/>
          <w:i/>
        </w:rPr>
        <w:t>must</w:t>
      </w:r>
      <w:r>
        <w:rPr>
          <w:rFonts w:ascii="Apple Casual" w:hAnsi="Apple Casual"/>
        </w:rPr>
        <w:t xml:space="preserve"> go unappreciated, but is </w:t>
      </w:r>
      <w:r w:rsidRPr="00686442">
        <w:rPr>
          <w:rFonts w:ascii="Apple Casual" w:hAnsi="Apple Casual"/>
          <w:i/>
        </w:rPr>
        <w:t>this</w:t>
      </w:r>
      <w:r>
        <w:rPr>
          <w:rFonts w:ascii="Apple Casual" w:hAnsi="Apple Casual"/>
        </w:rPr>
        <w:t xml:space="preserve"> what anyone wishes to insist upon? It would be a strange picture of a skeptic to cloak him as saying that each and every mind is so singular as to be inaccessible to every other. Couldn’t he, at most, think this only about his </w:t>
      </w:r>
      <w:r w:rsidRPr="00686442">
        <w:rPr>
          <w:rFonts w:ascii="Apple Casual" w:hAnsi="Apple Casual"/>
          <w:i/>
        </w:rPr>
        <w:t>own</w:t>
      </w:r>
      <w:r>
        <w:rPr>
          <w:rFonts w:ascii="Apple Casual" w:hAnsi="Apple Casual"/>
        </w:rPr>
        <w:t xml:space="preserve"> mind? We might think of this as solipsism, i.e., think of solipsism as narcissism, if that fate became live for us. Narcissus can question himself, but he cannot give himself an answer he can care about. </w:t>
      </w:r>
    </w:p>
    <w:p w14:paraId="0898774D" w14:textId="77777777" w:rsidR="00A955FE" w:rsidRDefault="00A955FE" w:rsidP="00A955FE">
      <w:pPr>
        <w:ind w:firstLine="720"/>
      </w:pPr>
      <w:r>
        <w:rPr>
          <w:rFonts w:ascii="Apple Casual" w:hAnsi="Apple Casual"/>
        </w:rPr>
        <w:t>Secrecy shares with privacy the idea of exclusiveness, or excludedness. Is the idea of privacy which some would care to defend and others to attack an idea of one soul exclu</w:t>
      </w:r>
      <w:r w:rsidR="00C45743">
        <w:rPr>
          <w:rFonts w:ascii="Apple Casual" w:hAnsi="Apple Casual"/>
        </w:rPr>
        <w:t>ded from, or by, another?</w:t>
      </w:r>
      <w:r>
        <w:t xml:space="preserve"> (330-31)</w:t>
      </w:r>
    </w:p>
    <w:p w14:paraId="5C2581AA" w14:textId="77777777" w:rsidR="00A955FE" w:rsidRDefault="00A955FE" w:rsidP="00A955FE"/>
    <w:p w14:paraId="25EC358B" w14:textId="77777777" w:rsidR="00A955FE" w:rsidRDefault="00A955FE" w:rsidP="00A955FE">
      <w:r>
        <w:t xml:space="preserve">4. </w:t>
      </w:r>
      <w:r w:rsidR="00C008AE">
        <w:t>Insistence on an Inside/Parable of the Boiling Pot</w:t>
      </w:r>
      <w:r>
        <w:t xml:space="preserve"> </w:t>
      </w:r>
    </w:p>
    <w:p w14:paraId="71CEE6B7" w14:textId="77777777" w:rsidR="00A955FE" w:rsidRDefault="00A955FE" w:rsidP="00A955FE"/>
    <w:p w14:paraId="2975F6CA" w14:textId="77777777" w:rsidR="00A955FE" w:rsidRDefault="00A955FE" w:rsidP="00A955FE">
      <w:r>
        <w:t>Example Set 4</w:t>
      </w:r>
    </w:p>
    <w:p w14:paraId="2D89640C" w14:textId="77777777" w:rsidR="00A955FE" w:rsidRDefault="00A955FE" w:rsidP="00A955FE"/>
    <w:p w14:paraId="0ACFF0D6" w14:textId="77777777" w:rsidR="00A955FE" w:rsidRPr="0048185F" w:rsidRDefault="00C45743" w:rsidP="00A955FE">
      <w:pPr>
        <w:rPr>
          <w:rFonts w:ascii="Apple Casual" w:hAnsi="Apple Casual"/>
        </w:rPr>
      </w:pPr>
      <w:r>
        <w:tab/>
      </w:r>
      <w:r w:rsidR="00A955FE">
        <w:rPr>
          <w:rFonts w:ascii="Apple Casual" w:hAnsi="Apple Casual"/>
        </w:rPr>
        <w:t>It is instructive to study that parable further.</w:t>
      </w:r>
    </w:p>
    <w:p w14:paraId="6656F85D" w14:textId="77777777" w:rsidR="00A955FE" w:rsidRDefault="00A955FE" w:rsidP="00A955FE">
      <w:pPr>
        <w:rPr>
          <w:sz w:val="20"/>
        </w:rPr>
      </w:pPr>
    </w:p>
    <w:p w14:paraId="3182F196" w14:textId="77777777" w:rsidR="00A955FE" w:rsidRPr="00221F47" w:rsidRDefault="00A955FE" w:rsidP="00A955FE">
      <w:pPr>
        <w:rPr>
          <w:rFonts w:ascii="Apple Casual" w:hAnsi="Apple Casual"/>
          <w:sz w:val="20"/>
        </w:rPr>
      </w:pPr>
      <w:r w:rsidRPr="00221F47">
        <w:rPr>
          <w:rFonts w:ascii="Apple Casual" w:hAnsi="Apple Casual"/>
          <w:sz w:val="20"/>
        </w:rPr>
        <w:t>Of course, if water boils in a pot, steam comes out of the pot and also pictured steam comes out of the pictured pot. But what if one insisted on saying that there must also be something boiling in the pictured pot? [#297]</w:t>
      </w:r>
    </w:p>
    <w:p w14:paraId="077ACD41" w14:textId="77777777" w:rsidR="00A955FE" w:rsidRPr="00221F47" w:rsidRDefault="00A955FE" w:rsidP="00A955FE">
      <w:pPr>
        <w:rPr>
          <w:rFonts w:ascii="Apple Casual" w:hAnsi="Apple Casual"/>
          <w:sz w:val="20"/>
        </w:rPr>
      </w:pPr>
    </w:p>
    <w:p w14:paraId="0D20EE37" w14:textId="77777777" w:rsidR="00A955FE" w:rsidRDefault="00A955FE" w:rsidP="00A955FE">
      <w:r w:rsidRPr="00221F47">
        <w:rPr>
          <w:rFonts w:ascii="Apple Casual" w:hAnsi="Apple Casual"/>
          <w:sz w:val="20"/>
        </w:rPr>
        <w:t>It is—we should like to say—not merely the picture of the behavior that plays a part in the language-game with the words “he is in pain”, but also the picture of the pain. Or, not merely the paradigm of the behavior, but also that of the pain.  –It is a misunderstanding to say “The picture of pain enters into the language-game with the word ‘pain’”. The image [</w:t>
      </w:r>
      <w:r w:rsidRPr="00221F47">
        <w:rPr>
          <w:rFonts w:ascii="Apple Casual" w:hAnsi="Apple Casual"/>
          <w:i/>
          <w:sz w:val="20"/>
        </w:rPr>
        <w:t>Vorstellung</w:t>
      </w:r>
      <w:r w:rsidRPr="00221F47">
        <w:rPr>
          <w:rFonts w:ascii="Apple Casual" w:hAnsi="Apple Casual"/>
          <w:sz w:val="20"/>
        </w:rPr>
        <w:t>] of pain is not a picture [</w:t>
      </w:r>
      <w:r w:rsidRPr="00221F47">
        <w:rPr>
          <w:rFonts w:ascii="Apple Casual" w:hAnsi="Apple Casual"/>
          <w:i/>
          <w:sz w:val="20"/>
        </w:rPr>
        <w:t>Bild</w:t>
      </w:r>
      <w:r w:rsidRPr="00221F47">
        <w:rPr>
          <w:rFonts w:ascii="Apple Casual" w:hAnsi="Apple Casual"/>
          <w:sz w:val="20"/>
        </w:rPr>
        <w:t xml:space="preserve">] and </w:t>
      </w:r>
      <w:r w:rsidRPr="00221F47">
        <w:rPr>
          <w:rFonts w:ascii="Apple Casual" w:hAnsi="Apple Casual"/>
          <w:i/>
          <w:sz w:val="20"/>
        </w:rPr>
        <w:t>this</w:t>
      </w:r>
      <w:r w:rsidRPr="00221F47">
        <w:rPr>
          <w:rFonts w:ascii="Apple Casual" w:hAnsi="Apple Casual"/>
          <w:sz w:val="20"/>
        </w:rPr>
        <w:t xml:space="preserve"> image is not replaceable in the language-game by anything that we should call a picture. –The image of pain certainly enters into the language-game in a sense; only not as a picture. [#300]</w:t>
      </w:r>
      <w:r>
        <w:t xml:space="preserve"> (332)</w:t>
      </w:r>
    </w:p>
    <w:p w14:paraId="435F5EEA" w14:textId="77777777" w:rsidR="00A955FE" w:rsidRDefault="00A955FE" w:rsidP="00A955FE">
      <w:r>
        <w:t xml:space="preserve"> </w:t>
      </w:r>
    </w:p>
    <w:p w14:paraId="3CC913EB" w14:textId="77777777" w:rsidR="00A955FE" w:rsidRPr="00221F47" w:rsidRDefault="00C45743" w:rsidP="00A955FE">
      <w:pPr>
        <w:rPr>
          <w:rFonts w:ascii="Apple Casual" w:hAnsi="Apple Casual"/>
        </w:rPr>
      </w:pPr>
      <w:r>
        <w:tab/>
      </w:r>
      <w:r w:rsidR="00A955FE">
        <w:rPr>
          <w:rFonts w:ascii="Apple Casual" w:hAnsi="Apple Casual"/>
        </w:rPr>
        <w:t xml:space="preserve">The parable comes in response to—that is, as instruction for—the </w:t>
      </w:r>
      <w:r w:rsidR="00A955FE" w:rsidRPr="00221F47">
        <w:rPr>
          <w:rFonts w:ascii="Apple Casual" w:hAnsi="Apple Casual"/>
        </w:rPr>
        <w:t>interlocutor’s particular insistence which precedes it:</w:t>
      </w:r>
    </w:p>
    <w:p w14:paraId="090E0135" w14:textId="77777777" w:rsidR="00A955FE" w:rsidRPr="00221F47" w:rsidRDefault="00A955FE" w:rsidP="00A955FE">
      <w:pPr>
        <w:rPr>
          <w:rFonts w:ascii="Apple Casual" w:hAnsi="Apple Casual"/>
        </w:rPr>
      </w:pPr>
    </w:p>
    <w:p w14:paraId="7950F1C4" w14:textId="77777777" w:rsidR="00A955FE" w:rsidRPr="00221F47" w:rsidRDefault="00A955FE" w:rsidP="00A955FE">
      <w:pPr>
        <w:rPr>
          <w:rFonts w:ascii="Apple Casual" w:hAnsi="Apple Casual"/>
          <w:sz w:val="20"/>
        </w:rPr>
      </w:pPr>
      <w:r w:rsidRPr="00221F47">
        <w:rPr>
          <w:rFonts w:ascii="Apple Casual" w:hAnsi="Apple Casual"/>
          <w:sz w:val="20"/>
        </w:rPr>
        <w:t xml:space="preserve">“Yes, but there is </w:t>
      </w:r>
      <w:r w:rsidRPr="00221F47">
        <w:rPr>
          <w:rFonts w:ascii="Apple Casual" w:hAnsi="Apple Casual"/>
          <w:i/>
          <w:sz w:val="20"/>
        </w:rPr>
        <w:t>something</w:t>
      </w:r>
      <w:r w:rsidRPr="00221F47">
        <w:rPr>
          <w:rFonts w:ascii="Apple Casual" w:hAnsi="Apple Casual"/>
          <w:sz w:val="20"/>
        </w:rPr>
        <w:t xml:space="preserve"> there all the same accompanying my cry of pain. And it is on account of that that I utter it. And this something is what is important—and frightful.”  —Only whom are we informing of this? And on what occasion? [#296]</w:t>
      </w:r>
    </w:p>
    <w:p w14:paraId="3157F027" w14:textId="77777777" w:rsidR="00A955FE" w:rsidRPr="00221F47" w:rsidRDefault="00A955FE" w:rsidP="00A955FE">
      <w:pPr>
        <w:rPr>
          <w:rFonts w:ascii="Apple Casual" w:hAnsi="Apple Casual"/>
        </w:rPr>
      </w:pPr>
    </w:p>
    <w:p w14:paraId="15A4DD11" w14:textId="77777777" w:rsidR="00A955FE" w:rsidRDefault="00A955FE" w:rsidP="00A955FE">
      <w:r w:rsidRPr="00221F47">
        <w:rPr>
          <w:rFonts w:ascii="Apple Casual" w:hAnsi="Apple Casual"/>
        </w:rPr>
        <w:t>The factor common between this interlocutor and the parable that follows</w:t>
      </w:r>
      <w:r w:rsidR="00C45743">
        <w:rPr>
          <w:rFonts w:ascii="Apple Casual" w:hAnsi="Apple Casual"/>
        </w:rPr>
        <w:t xml:space="preserve"> him, is the idea of “something”</w:t>
      </w:r>
      <w:r>
        <w:rPr>
          <w:rFonts w:ascii="Apple Casual" w:hAnsi="Apple Casual"/>
        </w:rPr>
        <w:t>, a something there, a someth</w:t>
      </w:r>
      <w:r w:rsidR="00C45743">
        <w:rPr>
          <w:rFonts w:ascii="Apple Casual" w:hAnsi="Apple Casual"/>
        </w:rPr>
        <w:t>ing here, inside. This idea of “something”</w:t>
      </w:r>
      <w:r>
        <w:rPr>
          <w:rFonts w:ascii="Apple Casual" w:hAnsi="Apple Casual"/>
        </w:rPr>
        <w:t xml:space="preserve"> is what the parable is about. Evidently this interlocutor has</w:t>
      </w:r>
      <w:r w:rsidR="00C45743">
        <w:rPr>
          <w:rFonts w:ascii="Apple Casual" w:hAnsi="Apple Casual"/>
        </w:rPr>
        <w:t xml:space="preserve"> been led to his insistence on “something”</w:t>
      </w:r>
      <w:r>
        <w:rPr>
          <w:rFonts w:ascii="Apple Casual" w:hAnsi="Apple Casual"/>
        </w:rPr>
        <w:t xml:space="preserve"> (or his reservation about it, his call to keep it in reserve) by his taking Wittgenstein (or someone) to have said or suggested that </w:t>
      </w:r>
      <w:r w:rsidRPr="006C2B5C">
        <w:rPr>
          <w:rFonts w:ascii="Apple Casual" w:hAnsi="Apple Casual"/>
          <w:i/>
        </w:rPr>
        <w:t>nothing</w:t>
      </w:r>
      <w:r>
        <w:rPr>
          <w:rFonts w:ascii="Apple Casual" w:hAnsi="Apple Casual"/>
        </w:rPr>
        <w:t xml:space="preserve"> is, or may be, going on inside him, whatever his (outward) expressions.</w:t>
      </w:r>
      <w:r>
        <w:t xml:space="preserve"> (334-35) </w:t>
      </w:r>
    </w:p>
    <w:p w14:paraId="70C180EE" w14:textId="77777777" w:rsidR="00A955FE" w:rsidRDefault="00A955FE" w:rsidP="00A955FE"/>
    <w:p w14:paraId="4A7C2DA9" w14:textId="77777777" w:rsidR="00A955FE" w:rsidRDefault="00C45743" w:rsidP="00A955FE">
      <w:r>
        <w:tab/>
      </w:r>
      <w:r w:rsidR="00A955FE">
        <w:rPr>
          <w:rFonts w:ascii="Apple Casual" w:hAnsi="Apple Casual"/>
        </w:rPr>
        <w:t>We can describe the</w:t>
      </w:r>
      <w:r>
        <w:rPr>
          <w:rFonts w:ascii="Apple Casual" w:hAnsi="Apple Casual"/>
        </w:rPr>
        <w:t xml:space="preserve"> situation this way: The words “</w:t>
      </w:r>
      <w:r w:rsidR="00A955FE">
        <w:rPr>
          <w:rFonts w:ascii="Apple Casual" w:hAnsi="Apple Casual"/>
        </w:rPr>
        <w:t xml:space="preserve">something accompanying my </w:t>
      </w:r>
      <w:r>
        <w:rPr>
          <w:rFonts w:ascii="Apple Casual" w:hAnsi="Apple Casual"/>
        </w:rPr>
        <w:t>cry of pain”</w:t>
      </w:r>
      <w:r w:rsidR="00A955FE">
        <w:rPr>
          <w:rFonts w:ascii="Apple Casual" w:hAnsi="Apple Casual"/>
        </w:rPr>
        <w:t xml:space="preserve"> are forced upon us when we feel we must enforce the </w:t>
      </w:r>
      <w:r w:rsidR="00A955FE" w:rsidRPr="00521CE7">
        <w:rPr>
          <w:rFonts w:ascii="Apple Casual" w:hAnsi="Apple Casual"/>
          <w:i/>
        </w:rPr>
        <w:t>connection</w:t>
      </w:r>
      <w:r w:rsidR="00A955FE">
        <w:rPr>
          <w:rFonts w:ascii="Apple Casual" w:hAnsi="Apple Casual"/>
        </w:rPr>
        <w:t xml:space="preserve"> between something inner and an outer something. But those very words—or rather the insistence with which in such an eventuality they are employed, or the reservation with which they are withheld—exactly serve to break this natural connection. (In philosophy, as I had occasion to say earlier, we want criteria to do less than they do.) They make the fact than an expression and what it expresses go together seem more or less accidental, or perhaps like a primitive natural law, as for example that when water boils in a pot steam comes forth from the pot; and, by the way, a much weaker law, because quite often when pain boils in a human being pai</w:t>
      </w:r>
      <w:r>
        <w:rPr>
          <w:rFonts w:ascii="Apple Casual" w:hAnsi="Apple Casual"/>
        </w:rPr>
        <w:t>n-behavior does not come forth.</w:t>
      </w:r>
      <w:r w:rsidR="00A955FE">
        <w:rPr>
          <w:rFonts w:ascii="Apple Casual" w:hAnsi="Apple Casual"/>
        </w:rPr>
        <w:t xml:space="preserve"> </w:t>
      </w:r>
      <w:r w:rsidR="00A955FE">
        <w:t xml:space="preserve">(338) </w:t>
      </w:r>
    </w:p>
    <w:p w14:paraId="18F08856" w14:textId="77777777" w:rsidR="00A955FE" w:rsidRDefault="00A955FE" w:rsidP="00A955FE"/>
    <w:p w14:paraId="5EAAF9D9" w14:textId="77777777" w:rsidR="00A955FE" w:rsidRDefault="00A955FE" w:rsidP="00A955FE">
      <w:r>
        <w:rPr>
          <w:rFonts w:ascii="Apple Casual" w:hAnsi="Apple Casual"/>
        </w:rPr>
        <w:t>–So criteria are disappointing. They do not assure that my words reach all the way to the pain of others. They just do not do the very thing they were meant to do</w:t>
      </w:r>
      <w:r w:rsidR="00C45743">
        <w:t>.</w:t>
      </w:r>
      <w:r w:rsidR="00CC2C7C">
        <w:t xml:space="preserve"> (</w:t>
      </w:r>
      <w:r w:rsidRPr="000F1200">
        <w:t>7</w:t>
      </w:r>
      <w:r w:rsidR="00CC2C7C">
        <w:t>9</w:t>
      </w:r>
      <w:r w:rsidRPr="000F1200">
        <w:t>)</w:t>
      </w:r>
      <w:r>
        <w:rPr>
          <w:rFonts w:ascii="Apple Casual" w:hAnsi="Apple Casual"/>
        </w:rPr>
        <w:t xml:space="preserve"> </w:t>
      </w:r>
    </w:p>
    <w:p w14:paraId="603FD2EC" w14:textId="77777777" w:rsidR="00A955FE" w:rsidRDefault="00A955FE" w:rsidP="00A955FE"/>
    <w:p w14:paraId="0B8B8074" w14:textId="77777777" w:rsidR="00A955FE" w:rsidRPr="00342B93" w:rsidRDefault="00A955FE" w:rsidP="00A955FE">
      <w:pPr>
        <w:rPr>
          <w:rFonts w:ascii="Apple Casual" w:hAnsi="Apple Casual"/>
        </w:rPr>
      </w:pPr>
      <w:r>
        <w:tab/>
      </w:r>
      <w:r>
        <w:rPr>
          <w:rFonts w:ascii="Apple Casual" w:hAnsi="Apple Casual"/>
        </w:rPr>
        <w:t xml:space="preserve">I understand Wittgenstein’s teaching to be something like this: My references to my pain are exactly my expressions of pain itself; and my words refer to my pain just because, or to the extent, that they are (modified) expressions of it. This would be true not only of the expression of a present experience. To refer to a pain which is past may require a present expression of it, one modified through memory. I may suppress, or otherwise lose, all memory of it, of how it felt. This can be a curse or a blessing. Then I will refer to it, if I do, as though it happened to someone else. One could think of this as speaking of myself historically. People can take this tone toward their present experiences, too. It may be a curse or a blessing. The picture of a </w:t>
      </w:r>
      <w:r w:rsidRPr="00B02C54">
        <w:rPr>
          <w:rFonts w:ascii="Apple Casual" w:hAnsi="Apple Casual"/>
          <w:i/>
        </w:rPr>
        <w:t>connection</w:t>
      </w:r>
      <w:r>
        <w:rPr>
          <w:rFonts w:ascii="Apple Casual" w:hAnsi="Apple Casual"/>
        </w:rPr>
        <w:t xml:space="preserve"> needing to be set up between an experience and the words for it is symbolic of the giving of expression to the experience, giving vent to it. If the expression is broken, the reference itself cannot establish the connection. Then what are my references to another’s pain? They are my (more or less) modified responses to it, or to his having had it, or to his anticipations of it; they are responses to another’s expressions of (or inability to express) his or her pain.</w:t>
      </w:r>
      <w:r>
        <w:t xml:space="preserve"> (342) </w:t>
      </w:r>
    </w:p>
    <w:p w14:paraId="01CB9805" w14:textId="77777777" w:rsidR="00A955FE" w:rsidRDefault="00A955FE" w:rsidP="00A955FE"/>
    <w:p w14:paraId="7A939BEE" w14:textId="77777777" w:rsidR="00A955FE" w:rsidRDefault="00A955FE" w:rsidP="00A955FE">
      <w:r>
        <w:t xml:space="preserve">5. </w:t>
      </w:r>
      <w:r w:rsidR="0029631F">
        <w:t>Expression/</w:t>
      </w:r>
      <w:r>
        <w:t>Fantasy of Private Language</w:t>
      </w:r>
    </w:p>
    <w:p w14:paraId="0BD1E870" w14:textId="77777777" w:rsidR="00A955FE" w:rsidRDefault="00A955FE" w:rsidP="00A955FE"/>
    <w:p w14:paraId="0ECEB52E" w14:textId="77777777" w:rsidR="00A955FE" w:rsidRDefault="00A955FE" w:rsidP="00A955FE">
      <w:r>
        <w:t xml:space="preserve">Example Set 5 </w:t>
      </w:r>
    </w:p>
    <w:p w14:paraId="2B096ACC" w14:textId="77777777" w:rsidR="00A955FE" w:rsidRDefault="00A955FE" w:rsidP="00A955FE"/>
    <w:p w14:paraId="2352D9B8" w14:textId="77777777" w:rsidR="00A955FE" w:rsidRDefault="00A955FE" w:rsidP="00A955FE">
      <w:r>
        <w:tab/>
      </w:r>
      <w:r>
        <w:rPr>
          <w:rFonts w:ascii="Apple Casual" w:hAnsi="Apple Casual"/>
        </w:rPr>
        <w:t xml:space="preserve">The dependence of reference upon expression in naming our states of consciousness is, I believe, the specific moral of Wittgenstein’s inventions containing the so-called private language argument. I find little said within these inventions, especially about privacy and about language, that is not said, generally more clearly, elsewhere in the </w:t>
      </w:r>
      <w:r w:rsidRPr="00FD4A6C">
        <w:rPr>
          <w:rFonts w:ascii="Apple Casual" w:hAnsi="Apple Casual"/>
          <w:i/>
        </w:rPr>
        <w:t>Investigations</w:t>
      </w:r>
      <w:r>
        <w:rPr>
          <w:rFonts w:ascii="Apple Casual" w:hAnsi="Apple Casual"/>
        </w:rPr>
        <w:t>, so that the very fame of this argument suggests to me that it has been miscast.</w:t>
      </w:r>
      <w:r>
        <w:t xml:space="preserve"> (343)</w:t>
      </w:r>
    </w:p>
    <w:p w14:paraId="3C7737DE" w14:textId="77777777" w:rsidR="00A955FE" w:rsidRDefault="00A955FE" w:rsidP="00A955FE"/>
    <w:p w14:paraId="44A71930" w14:textId="77777777" w:rsidR="00A955FE" w:rsidRDefault="00A955FE" w:rsidP="00A955FE">
      <w:pPr>
        <w:rPr>
          <w:rFonts w:ascii="Apple Casual" w:hAnsi="Apple Casual"/>
        </w:rPr>
      </w:pPr>
      <w:r>
        <w:tab/>
      </w:r>
      <w:r>
        <w:rPr>
          <w:rFonts w:ascii="Apple Casual" w:hAnsi="Apple Casual"/>
        </w:rPr>
        <w:t xml:space="preserve">So the fantasy of a private language, underlying the wish to deny the publicness of language, turns out, so far, to be a fantasy, or fear, either of inexpressiveness, one in which I am not merely unknown, but in which I am powerless to make myself known; or one in which what I express is beyond my control. I do not expect that the idea of such fantasies will be credited by anyone who does not share them, or is unaware that he or she shares them, to some degree. One fantasy may appear as a fear of having nothing whatever to say—or worse, as an anxiety over there being nothing whatever to say. If one does to some degree share, or can remember sharing, this fantasy, I do not think one will find it necessary yet to ask for a theory of expression with which to oppose it. The question, within the mood of the fantasy, is: Why do we attach significance to </w:t>
      </w:r>
      <w:r w:rsidRPr="00191E33">
        <w:rPr>
          <w:rFonts w:ascii="Apple Casual" w:hAnsi="Apple Casual"/>
          <w:i/>
        </w:rPr>
        <w:t>any</w:t>
      </w:r>
      <w:r>
        <w:rPr>
          <w:rFonts w:ascii="Apple Casual" w:hAnsi="Apple Casual"/>
        </w:rPr>
        <w:t xml:space="preserve"> words and deeds, of others or of ourselves? (To answer that this serves to explain words and deeds would </w:t>
      </w:r>
      <w:r w:rsidR="00C45743">
        <w:rPr>
          <w:rFonts w:ascii="Apple Casual" w:hAnsi="Apple Casual"/>
        </w:rPr>
        <w:t>be like answering the question “Why do we obey the state?”</w:t>
      </w:r>
      <w:r>
        <w:rPr>
          <w:rFonts w:ascii="Apple Casual" w:hAnsi="Apple Casual"/>
        </w:rPr>
        <w:t xml:space="preserve"> by citing the advantages of having a state.</w:t>
      </w:r>
      <w:r w:rsidR="00C45743">
        <w:rPr>
          <w:rFonts w:ascii="Apple Casual" w:hAnsi="Apple Casual"/>
        </w:rPr>
        <w:t xml:space="preserve"> The level of the question is: “</w:t>
      </w:r>
      <w:r>
        <w:rPr>
          <w:rFonts w:ascii="Apple Casual" w:hAnsi="Apple Casual"/>
        </w:rPr>
        <w:t xml:space="preserve">How can anything we say or do count as disobedience to the state—which does not amount to breaking the law, but to breaking the hold of the law; and why does everything else we </w:t>
      </w:r>
      <w:r w:rsidR="00C45743">
        <w:rPr>
          <w:rFonts w:ascii="Apple Casual" w:hAnsi="Apple Casual"/>
        </w:rPr>
        <w:t>say and do amount to obedience?”</w:t>
      </w:r>
      <w:r>
        <w:rPr>
          <w:rFonts w:ascii="Apple Casual" w:hAnsi="Apple Casual"/>
        </w:rPr>
        <w:t>) How can anything we say or do count as doodling, be some form of nonsense; and why is all the rest condemned to meaning?</w:t>
      </w:r>
    </w:p>
    <w:p w14:paraId="597E2299" w14:textId="77777777" w:rsidR="00A955FE" w:rsidRDefault="00A955FE" w:rsidP="00A955FE">
      <w:pPr>
        <w:rPr>
          <w:rFonts w:ascii="Apple Casual" w:hAnsi="Apple Casual"/>
        </w:rPr>
      </w:pPr>
      <w:r>
        <w:rPr>
          <w:rFonts w:ascii="Apple Casual" w:hAnsi="Apple Casual"/>
        </w:rPr>
        <w:tab/>
        <w:t>A fantasy of necessary inexpressiveness would solve a simultaneous set of metaphysical problems: it would relieve me of the responsibility for making myself known to others—as though if I were expressive that would mean continuously betraying my experiences, incessantly giving myself away; it would suggest that my responsibility for self-knowledge takes care of itself—as though the fact that others cannot know my (inner) life means that I cannot fail to. It would reassure my fears of being known, though it may not prevent my being under suspicion; it would reassure my fears of not being known, though it may not prevent my being under indictment. —The wish underlying this fantasy covers a wish that underlies skepticism, a wish for the connection between my claims of knowledge and the objects upon which the claims are to fall to occur without my intervention, apart from my agreements. As the wish stands, it is unappeasable. In the case of my knowing myself, such self-defeat would be doubly exquisite: I must disappear in order that the search for myself by successful.</w:t>
      </w:r>
      <w:r>
        <w:t xml:space="preserve"> (351-352)</w:t>
      </w:r>
      <w:r>
        <w:rPr>
          <w:rFonts w:ascii="Apple Casual" w:hAnsi="Apple Casual"/>
        </w:rPr>
        <w:t xml:space="preserve">  </w:t>
      </w:r>
    </w:p>
    <w:p w14:paraId="57023174" w14:textId="77777777" w:rsidR="00A955FE" w:rsidRPr="00182D4D" w:rsidRDefault="00A955FE" w:rsidP="00A955FE">
      <w:pPr>
        <w:rPr>
          <w:rFonts w:ascii="Apple Casual" w:hAnsi="Apple Casual"/>
        </w:rPr>
      </w:pPr>
      <w:r>
        <w:rPr>
          <w:rFonts w:ascii="Apple Casual" w:hAnsi="Apple Casual"/>
        </w:rPr>
        <w:t xml:space="preserve">  </w:t>
      </w:r>
    </w:p>
    <w:p w14:paraId="0A30223C" w14:textId="77777777" w:rsidR="00A955FE" w:rsidRDefault="00A955FE" w:rsidP="00A955FE">
      <w:r>
        <w:t>6. Allegory of Words</w:t>
      </w:r>
    </w:p>
    <w:p w14:paraId="739E0B45" w14:textId="77777777" w:rsidR="00A955FE" w:rsidRDefault="00A955FE" w:rsidP="00A955FE">
      <w:r>
        <w:t xml:space="preserve"> </w:t>
      </w:r>
    </w:p>
    <w:p w14:paraId="11234E1B" w14:textId="77777777" w:rsidR="00A955FE" w:rsidRDefault="00A955FE" w:rsidP="00A955FE">
      <w:r>
        <w:t>Example Set 6</w:t>
      </w:r>
    </w:p>
    <w:p w14:paraId="127814FD" w14:textId="77777777" w:rsidR="00906FC8" w:rsidRDefault="00906FC8" w:rsidP="00906FC8"/>
    <w:p w14:paraId="23C9E3B6" w14:textId="77777777" w:rsidR="00906FC8" w:rsidRDefault="00906FC8" w:rsidP="00906FC8">
      <w:r>
        <w:tab/>
      </w:r>
      <w:r>
        <w:rPr>
          <w:rFonts w:ascii="Apple Casual" w:hAnsi="Apple Casual"/>
        </w:rPr>
        <w:t xml:space="preserve">One point of the allegory of words can be brought </w:t>
      </w:r>
      <w:r w:rsidR="00E34A00">
        <w:rPr>
          <w:rFonts w:ascii="Apple Casual" w:hAnsi="Apple Casual"/>
        </w:rPr>
        <w:t>out this way. I said just now: “</w:t>
      </w:r>
      <w:r>
        <w:rPr>
          <w:rFonts w:ascii="Apple Casual" w:hAnsi="Apple Casual"/>
        </w:rPr>
        <w:t>My wo</w:t>
      </w:r>
      <w:r w:rsidR="00E34A00">
        <w:rPr>
          <w:rFonts w:ascii="Apple Casual" w:hAnsi="Apple Casual"/>
        </w:rPr>
        <w:t>rds are expressions of my life…”</w:t>
      </w:r>
      <w:r>
        <w:rPr>
          <w:rFonts w:ascii="Apple Casual" w:hAnsi="Apple Casual"/>
        </w:rPr>
        <w:t xml:space="preserve"> Let us ask here, as Wittgenstein asks of sensations (#411): Which words are </w:t>
      </w:r>
      <w:r w:rsidRPr="00D2163E">
        <w:rPr>
          <w:rFonts w:ascii="Apple Casual" w:hAnsi="Apple Casual"/>
          <w:i/>
        </w:rPr>
        <w:t>my</w:t>
      </w:r>
      <w:r>
        <w:rPr>
          <w:rFonts w:ascii="Apple Casual" w:hAnsi="Apple Casual"/>
        </w:rPr>
        <w:t xml:space="preserve"> words? There are obvious occasions for such a question: e.g., I am looking over the constitution we have drafted to see how much of my contribution to it has survived last night’s redrafting. Few, I dare say, have it in mind that they might own their very own set of words. But is it tempting to suppose that one may own one’s very own sensations?</w:t>
      </w:r>
      <w:r>
        <w:t xml:space="preserve"> (355-356)</w:t>
      </w:r>
    </w:p>
    <w:p w14:paraId="133180A1" w14:textId="77777777" w:rsidR="00A955FE" w:rsidRDefault="00A955FE" w:rsidP="00906FC8"/>
    <w:p w14:paraId="6D206D36" w14:textId="77777777" w:rsidR="00A955FE" w:rsidRPr="00221F47" w:rsidRDefault="00C45743" w:rsidP="00A955FE">
      <w:pPr>
        <w:rPr>
          <w:rFonts w:ascii="Apple Casual" w:hAnsi="Apple Casual"/>
        </w:rPr>
      </w:pPr>
      <w:r>
        <w:tab/>
      </w:r>
      <w:r w:rsidR="00A955FE">
        <w:rPr>
          <w:rFonts w:ascii="Apple Casual" w:hAnsi="Apple Casual"/>
        </w:rPr>
        <w:t xml:space="preserve">The idea of the allegory of words is that human expressions, the human figure, to be grasped, must be </w:t>
      </w:r>
      <w:r w:rsidR="00A955FE" w:rsidRPr="00221F47">
        <w:rPr>
          <w:rFonts w:ascii="Apple Casual" w:hAnsi="Apple Casual"/>
          <w:i/>
        </w:rPr>
        <w:t>read</w:t>
      </w:r>
      <w:r w:rsidR="00A955FE">
        <w:rPr>
          <w:rFonts w:ascii="Apple Casual" w:hAnsi="Apple Casual"/>
        </w:rPr>
        <w:t xml:space="preserve">. To know another mind is to interpret a physiognomy, and the message of this region of the </w:t>
      </w:r>
      <w:r w:rsidR="00A955FE" w:rsidRPr="00221F47">
        <w:rPr>
          <w:rFonts w:ascii="Apple Casual" w:hAnsi="Apple Casual"/>
          <w:i/>
        </w:rPr>
        <w:t>Investigations</w:t>
      </w:r>
      <w:r w:rsidR="00A955FE">
        <w:rPr>
          <w:rFonts w:ascii="Apple Casual" w:hAnsi="Apple Casual"/>
        </w:rPr>
        <w:t xml:space="preserve"> i</w:t>
      </w:r>
      <w:r>
        <w:rPr>
          <w:rFonts w:ascii="Apple Casual" w:hAnsi="Apple Casual"/>
        </w:rPr>
        <w:t>s that this is not a matter of “mere knowing”</w:t>
      </w:r>
      <w:r w:rsidR="00A955FE">
        <w:rPr>
          <w:rFonts w:ascii="Apple Casual" w:hAnsi="Apple Casual"/>
        </w:rPr>
        <w:t xml:space="preserve">. I have to read the physiognomy, and see the creature according to my reading, and treat it according to my seeing. The human body is the best picture of the human soul—not, I feel like adding, primarily because it represents the soul but because it expresses it. The body is the field of expression of the soul. The body is </w:t>
      </w:r>
      <w:r w:rsidR="00A955FE" w:rsidRPr="00221F47">
        <w:rPr>
          <w:rFonts w:ascii="Apple Casual" w:hAnsi="Apple Casual"/>
          <w:i/>
        </w:rPr>
        <w:t>of</w:t>
      </w:r>
      <w:r w:rsidR="00A955FE">
        <w:rPr>
          <w:rFonts w:ascii="Apple Casual" w:hAnsi="Apple Casual"/>
        </w:rPr>
        <w:t xml:space="preserve"> the soul; it is the soul’s; a human soul </w:t>
      </w:r>
      <w:r w:rsidR="00A955FE" w:rsidRPr="00221F47">
        <w:rPr>
          <w:rFonts w:ascii="Apple Casual" w:hAnsi="Apple Casual"/>
          <w:i/>
        </w:rPr>
        <w:t>has</w:t>
      </w:r>
      <w:r w:rsidR="00A955FE">
        <w:rPr>
          <w:rFonts w:ascii="Apple Casual" w:hAnsi="Apple Casual"/>
        </w:rPr>
        <w:t xml:space="preserve"> a human body. (Is this incomprehensible? Is it easier to comprehend the idea that it is the body which has the soul? (Cf. #283.) It does seem more comprehensible (though of course no less figura</w:t>
      </w:r>
      <w:r>
        <w:rPr>
          <w:rFonts w:ascii="Apple Casual" w:hAnsi="Apple Casual"/>
        </w:rPr>
        <w:t>tive) to say that this “having”</w:t>
      </w:r>
      <w:r w:rsidR="00A955FE">
        <w:rPr>
          <w:rFonts w:ascii="Apple Casual" w:hAnsi="Apple Casual"/>
        </w:rPr>
        <w:t xml:space="preserve"> is done by me: it is I who have both a body </w:t>
      </w:r>
      <w:r w:rsidR="00A955FE" w:rsidRPr="00221F47">
        <w:rPr>
          <w:rFonts w:ascii="Apple Casual" w:hAnsi="Apple Casual"/>
          <w:i/>
        </w:rPr>
        <w:t>and</w:t>
      </w:r>
      <w:r w:rsidR="00A955FE">
        <w:rPr>
          <w:rFonts w:ascii="Apple Casual" w:hAnsi="Apple Casual"/>
        </w:rPr>
        <w:t xml:space="preserve"> a soul, or mind.) An ancient picture takes the soul to be the possession of the body, it</w:t>
      </w:r>
      <w:r>
        <w:rPr>
          <w:rFonts w:ascii="Apple Casual" w:hAnsi="Apple Casual"/>
        </w:rPr>
        <w:t>s prisoner, condemned for life.</w:t>
      </w:r>
      <w:r w:rsidR="00A955FE">
        <w:rPr>
          <w:rFonts w:ascii="Apple Casual" w:hAnsi="Apple Casual"/>
        </w:rPr>
        <w:t xml:space="preserve"> </w:t>
      </w:r>
      <w:r w:rsidR="00A955FE">
        <w:t>(356-357)</w:t>
      </w:r>
    </w:p>
    <w:p w14:paraId="100AB0D3" w14:textId="77777777" w:rsidR="00A955FE" w:rsidRDefault="00A955FE" w:rsidP="00A955FE"/>
    <w:p w14:paraId="052E3A0A" w14:textId="77777777" w:rsidR="00182D4D" w:rsidRDefault="00A955FE" w:rsidP="00A955FE">
      <w:r>
        <w:tab/>
      </w:r>
      <w:r>
        <w:rPr>
          <w:rFonts w:ascii="Apple Casual" w:hAnsi="Apple Casual"/>
        </w:rPr>
        <w:t>Draw the moral of the fantasy of a private language this way: The natural importance of, say, a sensation’s being mine—i.e., of my having it, or rather of its being me who suffers it—is read philosophically as the sensation’s being uniquely mine, its being unpossessable by any other. Then when Wit</w:t>
      </w:r>
      <w:r w:rsidR="00C45743">
        <w:rPr>
          <w:rFonts w:ascii="Apple Casual" w:hAnsi="Apple Casual"/>
        </w:rPr>
        <w:t>tgenstein says, for example, “</w:t>
      </w:r>
      <w:r>
        <w:rPr>
          <w:rFonts w:ascii="Apple Casual" w:hAnsi="Apple Casual"/>
        </w:rPr>
        <w:t>In so far as it makes sense to speak of the same pain, it makes sense to</w:t>
      </w:r>
      <w:r w:rsidR="00C45743">
        <w:rPr>
          <w:rFonts w:ascii="Apple Casual" w:hAnsi="Apple Casual"/>
        </w:rPr>
        <w:t xml:space="preserve"> say we both have the same pain”</w:t>
      </w:r>
      <w:r>
        <w:rPr>
          <w:rFonts w:ascii="Apple Casual" w:hAnsi="Apple Casual"/>
        </w:rPr>
        <w:t xml:space="preserve">, this seems, within that philosophical reading, to diminish the importance of the fact that I have it. He seems to trivialize my (inner) life. –In a way this is true. I think one moral of the </w:t>
      </w:r>
      <w:r w:rsidRPr="009C4F64">
        <w:rPr>
          <w:rFonts w:ascii="Apple Casual" w:hAnsi="Apple Casual"/>
          <w:i/>
        </w:rPr>
        <w:t>Investigations</w:t>
      </w:r>
      <w:r>
        <w:rPr>
          <w:rFonts w:ascii="Apple Casual" w:hAnsi="Apple Casual"/>
        </w:rPr>
        <w:t xml:space="preserve"> as a whole can be drawn as follows: The fact, and the state, of your (inner) life cannot take its importance from anything special in it. However far you have gone with it, you will find that what is common is there before you are. The state of your life may be, and may be all that is, worth your infinite interest. But then that can only exist along with a complete disinterest tow</w:t>
      </w:r>
      <w:r w:rsidR="00C45743">
        <w:rPr>
          <w:rFonts w:ascii="Apple Casual" w:hAnsi="Apple Casual"/>
        </w:rPr>
        <w:t>ard it. The soul is impersonal.</w:t>
      </w:r>
      <w:r>
        <w:rPr>
          <w:rFonts w:ascii="Apple Casual" w:hAnsi="Apple Casual"/>
        </w:rPr>
        <w:t xml:space="preserve"> </w:t>
      </w:r>
      <w:r>
        <w:t xml:space="preserve">(361) </w:t>
      </w:r>
    </w:p>
    <w:p w14:paraId="59754BA0" w14:textId="77777777" w:rsidR="00182D4D" w:rsidRDefault="00182D4D" w:rsidP="00A955FE"/>
    <w:p w14:paraId="03E32999" w14:textId="77777777" w:rsidR="00182D4D" w:rsidRDefault="00B9590B" w:rsidP="00182D4D">
      <w:r>
        <w:t>7. Myth</w:t>
      </w:r>
      <w:r w:rsidR="00A8358C">
        <w:t>ical</w:t>
      </w:r>
      <w:r>
        <w:t xml:space="preserve"> Fragments of Body and Soul</w:t>
      </w:r>
    </w:p>
    <w:p w14:paraId="3CBF7859" w14:textId="77777777" w:rsidR="00C45743" w:rsidRDefault="00C45743" w:rsidP="00A955FE"/>
    <w:p w14:paraId="1878B6CA" w14:textId="77777777" w:rsidR="00C45743" w:rsidRDefault="00C45743" w:rsidP="00A955FE">
      <w:r>
        <w:t>Example Set 7</w:t>
      </w:r>
    </w:p>
    <w:p w14:paraId="6A092FA8" w14:textId="77777777" w:rsidR="00A955FE" w:rsidRDefault="00A955FE" w:rsidP="00A955FE"/>
    <w:p w14:paraId="7D763CC9" w14:textId="77777777" w:rsidR="00761DB4" w:rsidRDefault="00761DB4" w:rsidP="00C45743">
      <w:pPr>
        <w:ind w:firstLine="720"/>
        <w:rPr>
          <w:rFonts w:ascii="Apple Casual" w:hAnsi="Apple Casual"/>
        </w:rPr>
      </w:pPr>
      <w:r>
        <w:rPr>
          <w:rFonts w:ascii="Apple Casual" w:hAnsi="Apple Casual"/>
        </w:rPr>
        <w:t xml:space="preserve">The myth of the body as a veil expresses our sense that there is something we cannot see, not merely something we cannot know. It also expresses our confusion about this: Is what we cannot see hidden </w:t>
      </w:r>
      <w:r w:rsidRPr="000A279C">
        <w:rPr>
          <w:rFonts w:ascii="Apple Casual" w:hAnsi="Apple Casual"/>
          <w:i/>
        </w:rPr>
        <w:t>by</w:t>
      </w:r>
      <w:r>
        <w:rPr>
          <w:rFonts w:ascii="Apple Casual" w:hAnsi="Apple Casual"/>
        </w:rPr>
        <w:t xml:space="preserve"> the body or hidden </w:t>
      </w:r>
      <w:r w:rsidRPr="000A279C">
        <w:rPr>
          <w:rFonts w:ascii="Apple Casual" w:hAnsi="Apple Casual"/>
          <w:i/>
        </w:rPr>
        <w:t>within</w:t>
      </w:r>
      <w:r>
        <w:rPr>
          <w:rFonts w:ascii="Apple Casual" w:hAnsi="Apple Casual"/>
        </w:rPr>
        <w:t xml:space="preserve"> it? “Within it” suggests: it is some place in there, I don’t know where. “By it” suggests: I know where, I just cannot get at it. So we do not know whether the body must be penetrated or turned aside altogether. Wittgenstein’s expression “The human body is the best picture of the human soul” is an attempt to replace or to reinterpret these fragments of myth. It continues to express the idea that the soul is there to be seen, that my relation to the other’s soul is as immediate as to an object of sight, or would be as immediate if, so to speak, the relation could be effected. But Wittgenstein’s mythology shifts the location of the thing which blocks this vision.</w:t>
      </w:r>
    </w:p>
    <w:p w14:paraId="3C06D56B" w14:textId="77777777" w:rsidR="00B9590B" w:rsidRPr="00383C50" w:rsidRDefault="00761DB4" w:rsidP="00761DB4">
      <w:pPr>
        <w:rPr>
          <w:rFonts w:ascii="Apple Casual" w:hAnsi="Apple Casual"/>
        </w:rPr>
      </w:pPr>
      <w:r>
        <w:rPr>
          <w:rFonts w:ascii="Apple Casual" w:hAnsi="Apple Casual"/>
        </w:rPr>
        <w:tab/>
        <w:t xml:space="preserve">The block to my vision of the other is not the other’s body but my incapacity or unwillingness to interpret or to judge it accurately, to draw the right connections. The suggestion is: I suffer a kind of blindness, but I avoid the issue by projecting this darkness upon the other. The convincingness of Wittgenstein’s thought here will depend upon whether one is convinced by his relating the condition of what he calls “seeing an aspect” (hence what he calls “aspect-blindness”) to seeing a likeness between physiognomies, which he cites as his motive in introducing the topic of aspects in the first place. Aspect-blindness is something in me failing to dawn. It is a fixation. In terms of the myth of reading the physiognomy, </w:t>
      </w:r>
      <w:r w:rsidRPr="00383C50">
        <w:rPr>
          <w:rFonts w:ascii="Apple Casual" w:hAnsi="Apple Casual"/>
        </w:rPr>
        <w:t>this would be thought of as a kind of illiteracy; a lack of education.</w:t>
      </w:r>
      <w:r w:rsidRPr="00383C50">
        <w:t xml:space="preserve"> (368-369)</w:t>
      </w:r>
      <w:r w:rsidRPr="00383C50">
        <w:rPr>
          <w:rFonts w:ascii="Apple Casual" w:hAnsi="Apple Casual"/>
        </w:rPr>
        <w:t xml:space="preserve"> </w:t>
      </w:r>
    </w:p>
    <w:p w14:paraId="6D364103" w14:textId="77777777" w:rsidR="006D7872" w:rsidRPr="00383C50" w:rsidRDefault="006D7872" w:rsidP="00761DB4">
      <w:pPr>
        <w:rPr>
          <w:rFonts w:ascii="Apple Casual" w:hAnsi="Apple Casual"/>
        </w:rPr>
      </w:pPr>
    </w:p>
    <w:p w14:paraId="5568F372" w14:textId="77777777" w:rsidR="006D7872" w:rsidRPr="00383C50" w:rsidRDefault="006D7872" w:rsidP="00761DB4">
      <w:r w:rsidRPr="00383C50">
        <w:rPr>
          <w:rFonts w:ascii="Apple Casual" w:hAnsi="Apple Casual"/>
        </w:rPr>
        <w:t xml:space="preserve">But is it at all worth investigating ideas like seeing a possibility, or seeing an aspect as a possibility, or my relation to a hidden aspect, as part of a reading of Wittgenstein? Isn’t it on the face of it just against the Wittgensteinian grain to say, for example, that I see a person </w:t>
      </w:r>
      <w:r w:rsidRPr="00383C50">
        <w:rPr>
          <w:rFonts w:ascii="Apple Casual" w:hAnsi="Apple Casual"/>
          <w:i/>
        </w:rPr>
        <w:t>as</w:t>
      </w:r>
      <w:r w:rsidRPr="00383C50">
        <w:rPr>
          <w:rFonts w:ascii="Apple Casual" w:hAnsi="Apple Casual"/>
        </w:rPr>
        <w:t xml:space="preserve"> angry who just </w:t>
      </w:r>
      <w:r w:rsidRPr="00383C50">
        <w:rPr>
          <w:rFonts w:ascii="Apple Casual" w:hAnsi="Apple Casual"/>
          <w:i/>
        </w:rPr>
        <w:t>is</w:t>
      </w:r>
      <w:r w:rsidRPr="00383C50">
        <w:rPr>
          <w:rFonts w:ascii="Apple Casual" w:hAnsi="Apple Casual"/>
        </w:rPr>
        <w:t xml:space="preserve"> obviously angry, with no two ways about it? It amounts to saying that I interpret persons some way or another. And this seems to amount to saying that I can, or generally, see human beings as human beings—as what they simply are! </w:t>
      </w:r>
      <w:r w:rsidRPr="00383C50">
        <w:t>(370)</w:t>
      </w:r>
    </w:p>
    <w:p w14:paraId="365030DC" w14:textId="77777777" w:rsidR="00761DB4" w:rsidRDefault="00761DB4" w:rsidP="00761DB4">
      <w:pPr>
        <w:rPr>
          <w:rFonts w:ascii="Apple Casual" w:hAnsi="Apple Casual"/>
        </w:rPr>
      </w:pPr>
    </w:p>
    <w:p w14:paraId="3D6F3699" w14:textId="77777777" w:rsidR="00B9590B" w:rsidRPr="00EA25F7" w:rsidRDefault="00B9590B" w:rsidP="00B9590B">
      <w:r>
        <w:rPr>
          <w:rFonts w:ascii="Apple Casual" w:hAnsi="Apple Casual"/>
        </w:rPr>
        <w:t xml:space="preserve">I have found the </w:t>
      </w:r>
      <w:r w:rsidRPr="00EA25F7">
        <w:rPr>
          <w:rFonts w:ascii="Apple Casual" w:hAnsi="Apple Casual"/>
          <w:i/>
        </w:rPr>
        <w:t>Investigations</w:t>
      </w:r>
      <w:r>
        <w:rPr>
          <w:rFonts w:ascii="Apple Casual" w:hAnsi="Apple Casual"/>
        </w:rPr>
        <w:t xml:space="preserve">, I suppose more than any other work of this century, to be paradigmatic of philosophy for me, to be a dominating present of the history of philosophy for me. This has meant, as these things will, living with the sound of it, subjected to the sound. To find a certain freedom from that sound was therefore necessary if I was to feel I was finding my way to an investigation of my own preoccupations. This practice meant discovering ways of writing which I could regard as philosophical and could recognize as sometimes extensions—hence sometimes denials—of Wittgenstein’s, and of course also of those of any other writer from who I make my way. I should say, accordingly, that as my book moves into its latest strata, and continuously after about the first fourth of Part Four, I no longer regard my citations of the </w:t>
      </w:r>
      <w:r w:rsidRPr="00EA25F7">
        <w:rPr>
          <w:rFonts w:ascii="Apple Casual" w:hAnsi="Apple Casual"/>
          <w:i/>
        </w:rPr>
        <w:t>Investigations</w:t>
      </w:r>
      <w:r>
        <w:rPr>
          <w:rFonts w:ascii="Apple Casual" w:hAnsi="Apple Casual"/>
        </w:rPr>
        <w:t xml:space="preserve"> as interpretations of it.</w:t>
      </w:r>
      <w:r>
        <w:t xml:space="preserve"> (</w:t>
      </w:r>
      <w:r w:rsidR="00CC2C7C">
        <w:t>xiv-</w:t>
      </w:r>
      <w:r>
        <w:t>xv)</w:t>
      </w:r>
    </w:p>
    <w:p w14:paraId="6E8E5AC7" w14:textId="77777777" w:rsidR="00C45743" w:rsidRDefault="00C45743"/>
    <w:p w14:paraId="663D8445" w14:textId="77777777" w:rsidR="00207AF0" w:rsidRDefault="00C45743" w:rsidP="00C45743">
      <w:r>
        <w:t>8. Slavery/Seeing Humans</w:t>
      </w:r>
    </w:p>
    <w:p w14:paraId="61082E32" w14:textId="77777777" w:rsidR="00207AF0" w:rsidRDefault="00207AF0" w:rsidP="00C45743"/>
    <w:p w14:paraId="11E119EB" w14:textId="77777777" w:rsidR="00C45743" w:rsidRDefault="00207AF0" w:rsidP="00C45743">
      <w:r>
        <w:t>Example Set 8</w:t>
      </w:r>
    </w:p>
    <w:p w14:paraId="03AC197A" w14:textId="77777777" w:rsidR="00C45743" w:rsidRDefault="00C45743" w:rsidP="00C45743"/>
    <w:p w14:paraId="7C5A0D45" w14:textId="77777777" w:rsidR="00C45743" w:rsidRDefault="00C45743" w:rsidP="00C45743">
      <w:pPr>
        <w:rPr>
          <w:rFonts w:ascii="Apple Casual" w:hAnsi="Apple Casual"/>
        </w:rPr>
      </w:pPr>
      <w:r>
        <w:tab/>
      </w:r>
      <w:r>
        <w:rPr>
          <w:rFonts w:ascii="Apple Casual" w:hAnsi="Apple Casual"/>
        </w:rPr>
        <w:t xml:space="preserve">To justify, as it were, my lack of belief in the claim that the human embryo is a human being, i.e., my belief that this is not fully or seriously meant, I have had to sketch the lines along which these words </w:t>
      </w:r>
      <w:r w:rsidRPr="005A1A98">
        <w:rPr>
          <w:rFonts w:ascii="Apple Casual" w:hAnsi="Apple Casual"/>
          <w:i/>
        </w:rPr>
        <w:t>are</w:t>
      </w:r>
      <w:r>
        <w:rPr>
          <w:rFonts w:ascii="Apple Casual" w:hAnsi="Apple Casual"/>
        </w:rPr>
        <w:t xml:space="preserve"> meant, what people who are led to say them want and see and feel. Is this what I have to do in order to justify my lack of belief in the slaveowner’s claim (made perhaps by him, but in my circle of acquaintances, made only for him) that slaves are not human beings? Isn’t all that I, who </w:t>
      </w:r>
      <w:r w:rsidRPr="001E1FC8">
        <w:rPr>
          <w:rFonts w:ascii="Apple Casual" w:hAnsi="Apple Casual"/>
          <w:i/>
        </w:rPr>
        <w:t>know</w:t>
      </w:r>
      <w:r>
        <w:rPr>
          <w:rFonts w:ascii="Apple Casual" w:hAnsi="Apple Casual"/>
        </w:rPr>
        <w:t xml:space="preserve"> that slaves </w:t>
      </w:r>
      <w:r w:rsidRPr="001E1FC8">
        <w:rPr>
          <w:rFonts w:ascii="Apple Casual" w:hAnsi="Apple Casual"/>
          <w:i/>
        </w:rPr>
        <w:t>are</w:t>
      </w:r>
      <w:r>
        <w:rPr>
          <w:rFonts w:ascii="Apple Casual" w:hAnsi="Apple Casual"/>
        </w:rPr>
        <w:t xml:space="preserve"> human beings, can tell him is what it means to want and see and feel human being to be human beings? And I am not sure that I can do this. I am not sure, as was said, that I know what it means to know this. I can tell what the conservative imagines me to be missing about the human embryo because I can tell, or believe myself to be able to tell, what he is not missing; indeed, I have claimed to share it, though not to add things up his way. But is the slaveowner missing something I am not missing? I think not; not in this way. He may know roughly everything about human beings that I know. He might even describe them with subtlety in the romances he composes on lazy summer mornings.</w:t>
      </w:r>
    </w:p>
    <w:p w14:paraId="25BC19DD" w14:textId="77777777" w:rsidR="00C45743" w:rsidRDefault="00C45743" w:rsidP="00C45743">
      <w:pPr>
        <w:rPr>
          <w:rFonts w:ascii="Apple Casual" w:hAnsi="Apple Casual"/>
        </w:rPr>
      </w:pPr>
      <w:r>
        <w:rPr>
          <w:rFonts w:ascii="Apple Casual" w:hAnsi="Apple Casual"/>
        </w:rPr>
        <w:tab/>
        <w:t xml:space="preserve">What he really believes is not that slaves are not human beings, but that some human beings are slaves. No argument there, is there? Since he has some it follows that there are some. No, but this man </w:t>
      </w:r>
      <w:r w:rsidRPr="00422947">
        <w:rPr>
          <w:rFonts w:ascii="Apple Casual" w:hAnsi="Apple Casual"/>
          <w:i/>
        </w:rPr>
        <w:t>sees</w:t>
      </w:r>
      <w:r>
        <w:rPr>
          <w:rFonts w:ascii="Apple Casual" w:hAnsi="Apple Casual"/>
        </w:rPr>
        <w:t xml:space="preserve"> certain human beings </w:t>
      </w:r>
      <w:r w:rsidRPr="00422947">
        <w:rPr>
          <w:rFonts w:ascii="Apple Casual" w:hAnsi="Apple Casual"/>
          <w:i/>
        </w:rPr>
        <w:t>as</w:t>
      </w:r>
      <w:r>
        <w:rPr>
          <w:rFonts w:ascii="Apple Casual" w:hAnsi="Apple Casual"/>
        </w:rPr>
        <w:t xml:space="preserve"> slaves, takes them for slaves. He need not claim that all such persons ought to be in slavery, merely that it is all right if some are. But he is wrong. A person of sound mind can feel that this man—this perhaps likeable man, this family man, affectionate with the usual animals and children—must at all costs be stopped, if he touches you.</w:t>
      </w:r>
    </w:p>
    <w:p w14:paraId="3C38E843" w14:textId="77777777" w:rsidR="007633CE" w:rsidRPr="00567818" w:rsidRDefault="00C45743" w:rsidP="007633CE">
      <w:r>
        <w:rPr>
          <w:rFonts w:ascii="Apple Casual" w:hAnsi="Apple Casual"/>
        </w:rPr>
        <w:tab/>
        <w:t>But if this man sees certain human beings as slaves, isn’t he seeing something special</w:t>
      </w:r>
      <w:r w:rsidR="007633CE">
        <w:rPr>
          <w:rFonts w:ascii="Apple Casual" w:hAnsi="Apple Casual"/>
        </w:rPr>
        <w:t>, not missing something (he doubtless thinks I am missing something)? What he is missing is not something about slaves exactly, and not exactly about human beings. He is rather missing something about himself, or rather something about his connection with these people, his internal relation with them, so to speak. When he wants to be served at table by a black hand, he would not be satisfied to be served by a black paw. When he rapes a slave or takes her as a concubine, he does not feel that he has, by that fact itself, embraced sodomy. When he tips a black taxi driver (something he never does with a white driver) it does not occur to him that he might more appropriately have patted the creature fondly on the side of the neck. He does not go to great lengths either to convert his horses to Christianity or to prevent their getting wind of it. Everything in his relation to his slaves shows that he treats them as more or less human—his humiliations of them, his disappointments, his jealousies, his fears, his punishments, his attachments . . . .</w:t>
      </w:r>
      <w:r w:rsidR="007633CE">
        <w:t xml:space="preserve"> (375-376)</w:t>
      </w:r>
    </w:p>
    <w:p w14:paraId="6E3315EC" w14:textId="77777777" w:rsidR="007633CE" w:rsidRDefault="007633CE" w:rsidP="007633CE">
      <w:pPr>
        <w:rPr>
          <w:rFonts w:ascii="Apple Casual" w:hAnsi="Apple Casual"/>
        </w:rPr>
      </w:pPr>
    </w:p>
    <w:p w14:paraId="38DCF8CB" w14:textId="77777777" w:rsidR="007633CE" w:rsidRDefault="007633CE" w:rsidP="007633CE">
      <w:r>
        <w:rPr>
          <w:rFonts w:ascii="Apple Casual" w:hAnsi="Apple Casual"/>
        </w:rPr>
        <w:tab/>
        <w:t xml:space="preserve">The anxiety in the image of slavery—not confined to it, but most openly dramatized by it—is that it really is a way in which certain human beings can treat certain others whom they know, or all but know, to be human beings. Rather than admit this we say that the ones do not regard the others as human beings at all. (To understand Nazism, whatever that will mean, will be to understand it as a human possibility; monstrous, unforgiveable [sic?], but not therefore the conduct of monsters. Monsters are not unforgivable, and not forgivable. We do not bear the right internal relation to them for forgiveness to apply.) To admit that the slaveowner regards the slave as a kind of human being bases slavery on nothing more than some indefinite claim of difference, some inexpressible ground of exclusion of others from existence in our realm of justice. It is too close to something we might at any time discover. </w:t>
      </w:r>
      <w:r>
        <w:t>(377-378)</w:t>
      </w:r>
    </w:p>
    <w:p w14:paraId="1041598B" w14:textId="77777777" w:rsidR="007633CE" w:rsidRDefault="007633CE" w:rsidP="00C45743">
      <w:pPr>
        <w:rPr>
          <w:rFonts w:ascii="Apple Casual" w:hAnsi="Apple Casual"/>
        </w:rPr>
      </w:pPr>
    </w:p>
    <w:p w14:paraId="3614DC26" w14:textId="77777777" w:rsidR="007633CE" w:rsidRDefault="007633CE" w:rsidP="00C45743">
      <w:r>
        <w:t>9. Craftsman in the Garden</w:t>
      </w:r>
    </w:p>
    <w:p w14:paraId="594E6F8D" w14:textId="77777777" w:rsidR="007633CE" w:rsidRDefault="007633CE" w:rsidP="00C45743"/>
    <w:p w14:paraId="311A5495" w14:textId="77777777" w:rsidR="007633CE" w:rsidRDefault="007633CE" w:rsidP="00C45743">
      <w:r>
        <w:t>Example Set 9</w:t>
      </w:r>
    </w:p>
    <w:p w14:paraId="5A2BA23B" w14:textId="77777777" w:rsidR="007633CE" w:rsidRDefault="007633CE" w:rsidP="00C45743"/>
    <w:p w14:paraId="56FBA3EC" w14:textId="77777777" w:rsidR="003363DA" w:rsidRDefault="00F25993" w:rsidP="003363DA">
      <w:pPr>
        <w:rPr>
          <w:rFonts w:ascii="Apple Casual" w:hAnsi="Apple Casual"/>
        </w:rPr>
      </w:pPr>
      <w:r>
        <w:tab/>
      </w:r>
      <w:r>
        <w:rPr>
          <w:rFonts w:ascii="Apple Casual" w:hAnsi="Apple Casual"/>
        </w:rPr>
        <w:t>Go back to a stage before perfection.</w:t>
      </w:r>
      <w:r w:rsidR="004F3327" w:rsidRPr="004F3327">
        <w:rPr>
          <w:rFonts w:ascii="Apple Casual" w:hAnsi="Apple Casual"/>
        </w:rPr>
        <w:t xml:space="preserve"> </w:t>
      </w:r>
      <w:r w:rsidR="004F3327">
        <w:rPr>
          <w:rFonts w:ascii="Apple Casual" w:hAnsi="Apple Casual"/>
        </w:rPr>
        <w:t>I am strolling in the craftsman’s garden with him and his friend. He is in his usual white laboratory coat, his friend is wearing gloves and a hat with its brim so low it almost covers his eyes. To make a long story short, the craftsman finally says, with no little air of pride: “We’re making more progress than you think. Take my friend here. He’s one.” The craftsman offers his friend a seat on one of the wroughtiron benches and bids him relax. He leans back, crosses his legs, accepts a proffered cigarette with thanks.</w:t>
      </w:r>
      <w:r w:rsidR="00911085" w:rsidRPr="00911085">
        <w:rPr>
          <w:rFonts w:ascii="Apple Casual" w:hAnsi="Apple Casual"/>
        </w:rPr>
        <w:t xml:space="preserve"> </w:t>
      </w:r>
      <w:r w:rsidR="00911085">
        <w:rPr>
          <w:rFonts w:ascii="Apple Casual" w:hAnsi="Apple Casual"/>
        </w:rPr>
        <w:t>Then the craftsman raises his friend’s left trouser leg and gives the leg a tap. It is undeniably metal. But so what? The he asks his friend to remove his gloves. The hands turn our to be leathery or rubbery or something, anyway pretty obviously not real hands. But so what? So the friend has a metal leg and two prosthetic hands, and this is a terrible way to treat him; it is obscene; a striptease of misery. I do not wish to draw it out in much more detail.  –It is clear enough that we may arrive at a conclusion that convinces me the friend is an automaton. The craftsman knocks the friend’s hat off to reveal a manikin’s head (with as a joke,</w:t>
      </w:r>
      <w:r w:rsidR="003363DA" w:rsidRPr="003363DA">
        <w:rPr>
          <w:rFonts w:ascii="Apple Casual" w:hAnsi="Apple Casual"/>
        </w:rPr>
        <w:t xml:space="preserve"> </w:t>
      </w:r>
      <w:r w:rsidR="003363DA">
        <w:rPr>
          <w:rFonts w:ascii="Apple Casual" w:hAnsi="Apple Casual"/>
        </w:rPr>
        <w:t>a couple of glass buttons for eyes) which he rotates through 360 degrees; he rips open the friend’s shirt to reveal a chest of hammered brass which, prompted by the craftsman’s prying knife inserted into an all but invisible seam running straight down from the pit of the arm, snaps off to reveal something life clockwork.</w:t>
      </w:r>
    </w:p>
    <w:p w14:paraId="0ECC838F" w14:textId="77777777" w:rsidR="003363DA" w:rsidRDefault="003363DA" w:rsidP="003363DA">
      <w:r>
        <w:rPr>
          <w:rFonts w:ascii="Apple Casual" w:hAnsi="Apple Casual"/>
        </w:rPr>
        <w:tab/>
        <w:t>It is less clear, but still clear enough, that we may not arrive at a convincing conclusion. As the years go on, I am invited for a walk with the craftsman and his friends in their garden whenever there is a new development. The routine is always the same. I have seen the leg and the hands get progressively more lifelike until I almost no longer marvel at them. Today is special however; I can tell from the craftsman’s nervous gestures and the suppressed eagerness of his voice that there has been some new breakthrough. . . . The brass chest snaps off and, to my horror, I see no clockwork, but, for all the world, the insides of a human being. Recoiled aghast, I can hardly attend to the craftsman’s delighted words: “Of course, it’s far from perfect, and most of it is superficial fakery, especially the bones.</w:t>
      </w:r>
      <w:r>
        <w:t xml:space="preserve"> (403-404)</w:t>
      </w:r>
    </w:p>
    <w:p w14:paraId="56DFAADD" w14:textId="77777777" w:rsidR="003363DA" w:rsidRDefault="003363DA" w:rsidP="003363DA"/>
    <w:p w14:paraId="5DAAB6AD" w14:textId="77777777" w:rsidR="003363DA" w:rsidRDefault="003363DA" w:rsidP="003363DA">
      <w:pPr>
        <w:rPr>
          <w:rFonts w:ascii="Apple Casual" w:hAnsi="Apple Casual"/>
        </w:rPr>
      </w:pPr>
      <w:r>
        <w:tab/>
      </w:r>
      <w:r>
        <w:rPr>
          <w:rFonts w:ascii="Apple Casual" w:hAnsi="Apple Casual"/>
        </w:rPr>
        <w:t>Time passes. One day the craftsman is quite beside himself with suppressed excitement. He insists that I pay special attention to each of our procedures. The leg and the hands are by now really astonishing. The movement of the legs crossing and of the cigarette being lit are simply amazing. I want to see it all again. And as for the voice, I would be anything that no one could tell. So far I’m dazzled. Then the craftsman knocks off the hat to reveal what is for all the world a human head, intact. He rotates it through about 45 degrees and then stops himself with an embarrassed smile. The head turns back to its original position, but now its eyes turn toward mine. Then the knife is produced. As it approaches the friend’s side, he suddenly leaps up, as if threatened, and starts grappling with the craftsman. They both grunt and they are yelling. The friend is producing these words: “No more. It hurts. It hurts too much. I’m sick of being a human guinea pig, I mean a guinea pig human.”</w:t>
      </w:r>
    </w:p>
    <w:p w14:paraId="792EF53E" w14:textId="77777777" w:rsidR="003363DA" w:rsidRDefault="003363DA" w:rsidP="003363DA">
      <w:r>
        <w:rPr>
          <w:rFonts w:ascii="Apple Casual" w:hAnsi="Apple Casual"/>
        </w:rPr>
        <w:tab/>
        <w:t xml:space="preserve">Do I intervene? On whose behalf? Let us </w:t>
      </w:r>
      <w:r w:rsidRPr="009245B5">
        <w:rPr>
          <w:rFonts w:ascii="Apple Casual" w:hAnsi="Apple Casual"/>
          <w:i/>
        </w:rPr>
        <w:t>stipulate</w:t>
      </w:r>
      <w:r>
        <w:rPr>
          <w:rFonts w:ascii="Apple Casual" w:hAnsi="Apple Casual"/>
        </w:rPr>
        <w:t xml:space="preserve"> that the friend is not a ringer, not someone drawn into these encounters from outside.</w:t>
      </w:r>
      <w:r w:rsidR="00CC2C7C">
        <w:rPr>
          <w:rFonts w:ascii="Apple Casual" w:hAnsi="Apple Casual"/>
        </w:rPr>
        <w:t xml:space="preserve">  – It is important to ask whether we </w:t>
      </w:r>
      <w:r w:rsidR="00CC2C7C" w:rsidRPr="00CC2C7C">
        <w:rPr>
          <w:rFonts w:ascii="Apple Casual" w:hAnsi="Apple Casual"/>
          <w:i/>
        </w:rPr>
        <w:t>can</w:t>
      </w:r>
      <w:r w:rsidR="00CC2C7C">
        <w:rPr>
          <w:rFonts w:ascii="Apple Casual" w:hAnsi="Apple Casual"/>
        </w:rPr>
        <w:t xml:space="preserve"> stipulate this.</w:t>
      </w:r>
      <w:r>
        <w:t xml:space="preserve"> (405</w:t>
      </w:r>
      <w:r w:rsidR="00CC2C7C">
        <w:t>-406</w:t>
      </w:r>
      <w:r>
        <w:t>)</w:t>
      </w:r>
    </w:p>
    <w:p w14:paraId="19834908" w14:textId="77777777" w:rsidR="003363DA" w:rsidRDefault="003363DA" w:rsidP="003363DA"/>
    <w:p w14:paraId="5C9574F9" w14:textId="77777777" w:rsidR="003363DA" w:rsidRDefault="003363DA" w:rsidP="003363DA">
      <w:pPr>
        <w:rPr>
          <w:rFonts w:ascii="Apple Casual" w:hAnsi="Apple Casual"/>
        </w:rPr>
      </w:pPr>
      <w:r>
        <w:tab/>
      </w:r>
      <w:r>
        <w:rPr>
          <w:rFonts w:ascii="Apple Casual" w:hAnsi="Apple Casual"/>
        </w:rPr>
        <w:t xml:space="preserve">How far can my subservience to the craftsman extend? Suppose I have trained myself to think of the friend as having not feelings but “feelings”. (Cp. Hilary Putnam, “Robots: Machines or . . . ?”.) Which means that I have trained myself to show him, for example, not sympathy but “sympathy”; and perhaps learned not to be impatient with him if I think he is complaining too much—I mean of course “complaining” too much, and “impatient” with him (“him”). Then one day, my back turned, the friend grabs my arm (“grabs”?), wheels me around, and the craftsman approaches me with his knife. “So,” he says, “you have accommodated yourself to the friend, have you? You have learned how to treat him. Your attitude towards him is your attitude towards a ‘soul’, is it? You hedge his soul, do you?” Then he rips open my shirt and snaps off my chest to reveal (I glance down) some elegant clockwork. You cannot imagine my surprise. –Can I? I can imagine either of two conclusions the craftsman may wish me to draw from this demonstration that I am not, for all I know, in any better position, soul-wise or body-wise, than the friend. One is: For all I know, all I have are, for example, “pains”. The other is: For all I know, the friend has, for example, </w:t>
      </w:r>
      <w:r w:rsidRPr="004A6648">
        <w:rPr>
          <w:rFonts w:ascii="Apple Casual" w:hAnsi="Apple Casual"/>
          <w:i/>
        </w:rPr>
        <w:t>pains</w:t>
      </w:r>
      <w:r>
        <w:rPr>
          <w:rFonts w:ascii="Apple Casual" w:hAnsi="Apple Casual"/>
        </w:rPr>
        <w:t>.</w:t>
      </w:r>
    </w:p>
    <w:p w14:paraId="6CB54FB8" w14:textId="77777777" w:rsidR="003363DA" w:rsidRDefault="003363DA" w:rsidP="003363DA">
      <w:r>
        <w:rPr>
          <w:rFonts w:ascii="Apple Casual" w:hAnsi="Apple Casual"/>
        </w:rPr>
        <w:tab/>
        <w:t>To accept the latter conclusion is to accept the friend as an other, a fellow sufferer, unhedged. In what would acceptance consist?</w:t>
      </w:r>
      <w:r>
        <w:t xml:space="preserve"> (408)</w:t>
      </w:r>
    </w:p>
    <w:p w14:paraId="02C028D4" w14:textId="77777777" w:rsidR="00383C50" w:rsidRDefault="00383C50" w:rsidP="00911085"/>
    <w:p w14:paraId="20EAFE8C" w14:textId="77777777" w:rsidR="00911085" w:rsidRDefault="00911085" w:rsidP="00911085">
      <w:r>
        <w:t xml:space="preserve">10. The Outsider </w:t>
      </w:r>
    </w:p>
    <w:p w14:paraId="7233F6CF" w14:textId="77777777" w:rsidR="00911085" w:rsidRDefault="00911085" w:rsidP="00911085"/>
    <w:p w14:paraId="4E904BA6" w14:textId="77777777" w:rsidR="00911085" w:rsidRDefault="00911085" w:rsidP="00911085">
      <w:r>
        <w:t>Example Set 10</w:t>
      </w:r>
    </w:p>
    <w:p w14:paraId="10B3013D" w14:textId="77777777" w:rsidR="00911085" w:rsidRDefault="00911085" w:rsidP="00911085"/>
    <w:p w14:paraId="3E434425" w14:textId="77777777" w:rsidR="00911085" w:rsidRDefault="00911085" w:rsidP="00911085">
      <w:pPr>
        <w:rPr>
          <w:rFonts w:ascii="Apple Casual" w:hAnsi="Apple Casual"/>
        </w:rPr>
      </w:pPr>
      <w:r>
        <w:tab/>
      </w:r>
      <w:r>
        <w:rPr>
          <w:rFonts w:ascii="Apple Casual" w:hAnsi="Apple Casual"/>
        </w:rPr>
        <w:t xml:space="preserve">Can a human being be free of human nature? (The doctrine of Original Sin can be taken as a reminder that, with one or rather with two exceptions humankind cannot be thus free. Yet Saint Paul asks us to put off our (old) nature. What is repellent in Christianity is the </w:t>
      </w:r>
      <w:r w:rsidRPr="00441D2D">
        <w:rPr>
          <w:rFonts w:ascii="Apple Casual" w:hAnsi="Apple Casual"/>
          <w:i/>
        </w:rPr>
        <w:t>way</w:t>
      </w:r>
      <w:r>
        <w:rPr>
          <w:rFonts w:ascii="Apple Casual" w:hAnsi="Apple Casual"/>
        </w:rPr>
        <w:t xml:space="preserve"> it seems to imagine both our necessary bondage to human nature and our possible freedom from it. In this, Nietzsche seems to me right, even less crazy than Christianity. But he persists in believing both that humankind must get free of human nature </w:t>
      </w:r>
      <w:r w:rsidRPr="00441D2D">
        <w:rPr>
          <w:rFonts w:ascii="Apple Casual" w:hAnsi="Apple Casual"/>
          <w:i/>
        </w:rPr>
        <w:t>and</w:t>
      </w:r>
      <w:r>
        <w:rPr>
          <w:rFonts w:ascii="Apple Casual" w:hAnsi="Apple Casual"/>
        </w:rPr>
        <w:t xml:space="preserve"> that the human being cannot be free of human nature. Hence the logic of his advice to escape this dilemma of our humanity by overcoming our human nature. I hope he was wrong in this persistence, even though his prediction seems accurately enough to be coming true, that we will, apart from his advice, overcome ourselves nihilistically, solve the dilemma of our humanity by becoming monsters.)</w:t>
      </w:r>
    </w:p>
    <w:p w14:paraId="359A281E" w14:textId="77777777" w:rsidR="00911085" w:rsidRDefault="00911085" w:rsidP="00911085">
      <w:r>
        <w:rPr>
          <w:rFonts w:ascii="Apple Casual" w:hAnsi="Apple Casual"/>
        </w:rPr>
        <w:tab/>
        <w:t xml:space="preserve">If I try to imagine just some unspecified Outsider, what can he tell me? He is a poor relation of the Outsider we fantasize in thinking of the related moment in the skeptical problem of the external world. </w:t>
      </w:r>
      <w:r>
        <w:t>(416)</w:t>
      </w:r>
    </w:p>
    <w:p w14:paraId="7601D738" w14:textId="77777777" w:rsidR="00911085" w:rsidRDefault="00911085" w:rsidP="00911085"/>
    <w:p w14:paraId="3FAA74C2" w14:textId="77777777" w:rsidR="00911085" w:rsidRDefault="00911085" w:rsidP="00911085">
      <w:r>
        <w:tab/>
      </w:r>
      <w:r>
        <w:rPr>
          <w:rFonts w:ascii="Apple Casual" w:hAnsi="Apple Casual"/>
        </w:rPr>
        <w:t>But if the coherence in imagining the Outsider with respect to me and the external world turns on his being invoked just to tell an antecedently clear difference or to make an antecedently clear comparison, then suppose I invoke an Outsider with respect to me and other minds just to make a comparison between, say, what I feel when I say I feel pain and what others feel when they say so, and between what I see when I say I see red and what others see when they say so. A difference emerges in these two cases. If the Outsider discovers that what we see when we each say we see red is not the same, then it seems to make sense to ask which of us is right. I can tolerate the ideas that the other might be right because I can tolerate the idea that neither of us is. But if I and the other do not feel the same when we sincerely exhibit pain, I cannot tolerate the idea that the other might be right and I not. What I feel, when I feel pain, is pain. So I am putting a restriction on what the Outsider can know. He can know something about another’s pain that I cannot know, but not something about mine. He is not really an Outsider to me. If he exists, he is in me.</w:t>
      </w:r>
      <w:r>
        <w:t xml:space="preserve"> (417-418)</w:t>
      </w:r>
    </w:p>
    <w:p w14:paraId="094E023C" w14:textId="77777777" w:rsidR="00911085" w:rsidRDefault="00911085" w:rsidP="00911085"/>
    <w:p w14:paraId="10B85D6A" w14:textId="77777777" w:rsidR="004B449B" w:rsidRDefault="00911085" w:rsidP="00911085">
      <w:r>
        <w:tab/>
      </w:r>
      <w:r>
        <w:rPr>
          <w:rFonts w:ascii="Apple Casual" w:hAnsi="Apple Casual"/>
        </w:rPr>
        <w:t>When the Outsider was unrestricted in what he could reveal to me about myself (when my status as a human being was open to him to pass upon), he was too outside. When he is restricted in what he can reveal (when I determine what is and is not open to him to pass upon), he is not outside enough. –So doesn’t this dilemma show that there was no intelligible worry about some unspecifiable “difference” between human beings and non-beings? The worry again comes to nothing. –It suggests, it seems to me, that if there is a worry it is not a skeptical worry, not something beyond the field of everyday life.</w:t>
      </w:r>
      <w:r>
        <w:t xml:space="preserve"> (420)</w:t>
      </w:r>
    </w:p>
    <w:p w14:paraId="0BE46608" w14:textId="77777777" w:rsidR="00903EAF" w:rsidRDefault="00903EAF" w:rsidP="00911085"/>
    <w:p w14:paraId="542AEF10" w14:textId="77777777" w:rsidR="00903EAF" w:rsidRDefault="00F44FCF" w:rsidP="00911085">
      <w:r>
        <w:t xml:space="preserve">0. </w:t>
      </w:r>
      <w:r w:rsidR="00903EAF">
        <w:t>First Task</w:t>
      </w:r>
    </w:p>
    <w:p w14:paraId="0E220E75" w14:textId="77777777" w:rsidR="00903EAF" w:rsidRDefault="00903EAF" w:rsidP="00911085"/>
    <w:p w14:paraId="4B916995" w14:textId="77777777" w:rsidR="001200FA" w:rsidRDefault="00903EAF" w:rsidP="00986B19">
      <w:pPr>
        <w:ind w:firstLine="720"/>
      </w:pPr>
      <w:r>
        <w:rPr>
          <w:rFonts w:ascii="Apple Casual" w:hAnsi="Apple Casual"/>
        </w:rPr>
        <w:t>Of course our confrontation with others may not take. We may mistake someone’s cares and commitments, or they may suddenly deny us. But what then breaks down is not moral argument but moral relationship. Of course that can happen. But it does not happen because we do not feel approval of one another. What is required in confronting another person is not your liking him or her but your being willing, from whatever cause, to take his or her position into account, and bear the consequences. If the moralist is the human being who best grasps the human position, teaches us what our human position is, better than we know, in ways we cannot escape but through distraction and muddle, then our first task in subjecting ourselves to judgment is to tell the moralist from the moralizer. When Auden heard “the preacher’s loose, immodest tone”, he heard the tone of one speaking in the name of a position one does not occupy, confronting others in positions of which one will not imagine the acknowledgment.</w:t>
      </w:r>
      <w:r>
        <w:t xml:space="preserve"> (326)</w:t>
      </w:r>
    </w:p>
    <w:p w14:paraId="248C531F" w14:textId="77777777" w:rsidR="001200FA" w:rsidRDefault="001200FA" w:rsidP="001200FA"/>
    <w:p w14:paraId="365D8582" w14:textId="77777777" w:rsidR="001200FA" w:rsidRDefault="001200FA" w:rsidP="001200FA"/>
    <w:p w14:paraId="3CD79D60" w14:textId="77777777" w:rsidR="004B449B" w:rsidRDefault="004B449B" w:rsidP="001200FA"/>
    <w:p w14:paraId="36BD3ADA" w14:textId="77777777" w:rsidR="00C45743" w:rsidRDefault="00C45743" w:rsidP="00911085"/>
    <w:sectPr w:rsidR="00C45743" w:rsidSect="0096174F">
      <w:footerReference w:type="even" r:id="rId8"/>
      <w:footerReference w:type="default" r:id="rId9"/>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3DFE23" w14:textId="77777777" w:rsidR="0096174F" w:rsidRDefault="0096174F" w:rsidP="0096174F">
      <w:r>
        <w:separator/>
      </w:r>
    </w:p>
  </w:endnote>
  <w:endnote w:type="continuationSeparator" w:id="0">
    <w:p w14:paraId="43292038" w14:textId="77777777" w:rsidR="0096174F" w:rsidRDefault="0096174F" w:rsidP="00961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4D"/>
    <w:family w:val="roman"/>
    <w:notTrueType/>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pple Casual">
    <w:panose1 w:val="00010400000000000000"/>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1A350A" w14:textId="77777777" w:rsidR="0096174F" w:rsidRDefault="0096174F" w:rsidP="0096174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718B31" w14:textId="77777777" w:rsidR="0096174F" w:rsidRDefault="0096174F" w:rsidP="0096174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3CC92E" w14:textId="77777777" w:rsidR="0096174F" w:rsidRPr="0096174F" w:rsidRDefault="0096174F" w:rsidP="0096174F">
    <w:pPr>
      <w:pStyle w:val="Footer"/>
      <w:framePr w:wrap="around" w:vAnchor="text" w:hAnchor="margin" w:xAlign="right" w:y="1"/>
      <w:rPr>
        <w:rStyle w:val="PageNumber"/>
        <w:sz w:val="20"/>
        <w:szCs w:val="20"/>
      </w:rPr>
    </w:pPr>
    <w:r w:rsidRPr="0096174F">
      <w:rPr>
        <w:rStyle w:val="PageNumber"/>
        <w:sz w:val="20"/>
        <w:szCs w:val="20"/>
      </w:rPr>
      <w:fldChar w:fldCharType="begin"/>
    </w:r>
    <w:r w:rsidRPr="0096174F">
      <w:rPr>
        <w:rStyle w:val="PageNumber"/>
        <w:sz w:val="20"/>
        <w:szCs w:val="20"/>
      </w:rPr>
      <w:instrText xml:space="preserve">PAGE  </w:instrText>
    </w:r>
    <w:r w:rsidRPr="0096174F">
      <w:rPr>
        <w:rStyle w:val="PageNumber"/>
        <w:sz w:val="20"/>
        <w:szCs w:val="20"/>
      </w:rPr>
      <w:fldChar w:fldCharType="separate"/>
    </w:r>
    <w:r>
      <w:rPr>
        <w:rStyle w:val="PageNumber"/>
        <w:noProof/>
        <w:sz w:val="20"/>
        <w:szCs w:val="20"/>
      </w:rPr>
      <w:t>1</w:t>
    </w:r>
    <w:r w:rsidRPr="0096174F">
      <w:rPr>
        <w:rStyle w:val="PageNumber"/>
        <w:sz w:val="20"/>
        <w:szCs w:val="20"/>
      </w:rPr>
      <w:fldChar w:fldCharType="end"/>
    </w:r>
  </w:p>
  <w:p w14:paraId="4FFEDE99" w14:textId="77777777" w:rsidR="0096174F" w:rsidRDefault="0096174F" w:rsidP="0096174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8781E8" w14:textId="77777777" w:rsidR="0096174F" w:rsidRDefault="0096174F" w:rsidP="0096174F">
      <w:r>
        <w:separator/>
      </w:r>
    </w:p>
  </w:footnote>
  <w:footnote w:type="continuationSeparator" w:id="0">
    <w:p w14:paraId="71F222C5" w14:textId="77777777" w:rsidR="0096174F" w:rsidRDefault="0096174F" w:rsidP="0096174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6A29C9"/>
    <w:multiLevelType w:val="hybridMultilevel"/>
    <w:tmpl w:val="94A85A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1CC3831"/>
    <w:multiLevelType w:val="hybridMultilevel"/>
    <w:tmpl w:val="232EE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0C2467"/>
    <w:multiLevelType w:val="hybridMultilevel"/>
    <w:tmpl w:val="AEB86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582A6F"/>
    <w:multiLevelType w:val="hybridMultilevel"/>
    <w:tmpl w:val="CD20D3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18F70DF"/>
    <w:multiLevelType w:val="hybridMultilevel"/>
    <w:tmpl w:val="DC0EC6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A81192"/>
    <w:multiLevelType w:val="hybridMultilevel"/>
    <w:tmpl w:val="39E2FA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1834E2"/>
    <w:multiLevelType w:val="hybridMultilevel"/>
    <w:tmpl w:val="449C6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6F2E36"/>
    <w:multiLevelType w:val="hybridMultilevel"/>
    <w:tmpl w:val="2CE251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3C4050"/>
    <w:multiLevelType w:val="hybridMultilevel"/>
    <w:tmpl w:val="07C69F6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A7B0076"/>
    <w:multiLevelType w:val="hybridMultilevel"/>
    <w:tmpl w:val="26423A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8"/>
  </w:num>
  <w:num w:numId="3">
    <w:abstractNumId w:val="3"/>
  </w:num>
  <w:num w:numId="4">
    <w:abstractNumId w:val="4"/>
  </w:num>
  <w:num w:numId="5">
    <w:abstractNumId w:val="5"/>
  </w:num>
  <w:num w:numId="6">
    <w:abstractNumId w:val="1"/>
  </w:num>
  <w:num w:numId="7">
    <w:abstractNumId w:val="0"/>
  </w:num>
  <w:num w:numId="8">
    <w:abstractNumId w:val="6"/>
  </w:num>
  <w:num w:numId="9">
    <w:abstractNumId w:val="2"/>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A955FE"/>
    <w:rsid w:val="000032D6"/>
    <w:rsid w:val="00014842"/>
    <w:rsid w:val="0003094B"/>
    <w:rsid w:val="0005151D"/>
    <w:rsid w:val="00052DAC"/>
    <w:rsid w:val="00072028"/>
    <w:rsid w:val="00082034"/>
    <w:rsid w:val="000C3BE8"/>
    <w:rsid w:val="001200FA"/>
    <w:rsid w:val="0014521C"/>
    <w:rsid w:val="00155C9A"/>
    <w:rsid w:val="00182D4D"/>
    <w:rsid w:val="00184D46"/>
    <w:rsid w:val="00190EDE"/>
    <w:rsid w:val="001A77AF"/>
    <w:rsid w:val="001D3571"/>
    <w:rsid w:val="002034EF"/>
    <w:rsid w:val="00207AF0"/>
    <w:rsid w:val="00231967"/>
    <w:rsid w:val="002319CB"/>
    <w:rsid w:val="0024108B"/>
    <w:rsid w:val="00277B0D"/>
    <w:rsid w:val="0028303D"/>
    <w:rsid w:val="0029631F"/>
    <w:rsid w:val="002A60B9"/>
    <w:rsid w:val="002D36C3"/>
    <w:rsid w:val="00300D96"/>
    <w:rsid w:val="00312514"/>
    <w:rsid w:val="00315071"/>
    <w:rsid w:val="003363DA"/>
    <w:rsid w:val="00355CA2"/>
    <w:rsid w:val="003608E9"/>
    <w:rsid w:val="003646EA"/>
    <w:rsid w:val="00383C50"/>
    <w:rsid w:val="003A3B71"/>
    <w:rsid w:val="003A746E"/>
    <w:rsid w:val="003C3A1B"/>
    <w:rsid w:val="004129A7"/>
    <w:rsid w:val="00415E2C"/>
    <w:rsid w:val="0041719A"/>
    <w:rsid w:val="004654D3"/>
    <w:rsid w:val="004874B7"/>
    <w:rsid w:val="004B449B"/>
    <w:rsid w:val="004D4AE2"/>
    <w:rsid w:val="004F3327"/>
    <w:rsid w:val="004F5A43"/>
    <w:rsid w:val="00506E89"/>
    <w:rsid w:val="0051111C"/>
    <w:rsid w:val="00554BD0"/>
    <w:rsid w:val="0057645B"/>
    <w:rsid w:val="005C31CE"/>
    <w:rsid w:val="005D538F"/>
    <w:rsid w:val="005E40EC"/>
    <w:rsid w:val="0060256B"/>
    <w:rsid w:val="006145EE"/>
    <w:rsid w:val="00640FAC"/>
    <w:rsid w:val="00654978"/>
    <w:rsid w:val="00664812"/>
    <w:rsid w:val="00680FCB"/>
    <w:rsid w:val="00686CA0"/>
    <w:rsid w:val="006A2144"/>
    <w:rsid w:val="006A3375"/>
    <w:rsid w:val="006C0C0C"/>
    <w:rsid w:val="006D7872"/>
    <w:rsid w:val="006E3D59"/>
    <w:rsid w:val="00703019"/>
    <w:rsid w:val="007406AF"/>
    <w:rsid w:val="007448EF"/>
    <w:rsid w:val="00761DB4"/>
    <w:rsid w:val="007633CE"/>
    <w:rsid w:val="0077759F"/>
    <w:rsid w:val="007A3219"/>
    <w:rsid w:val="00821B1A"/>
    <w:rsid w:val="008327AE"/>
    <w:rsid w:val="00840E51"/>
    <w:rsid w:val="00841FBF"/>
    <w:rsid w:val="00847C39"/>
    <w:rsid w:val="00890D6A"/>
    <w:rsid w:val="008E7C12"/>
    <w:rsid w:val="00903EAF"/>
    <w:rsid w:val="00904188"/>
    <w:rsid w:val="00906FC8"/>
    <w:rsid w:val="00911085"/>
    <w:rsid w:val="00927308"/>
    <w:rsid w:val="0096174F"/>
    <w:rsid w:val="009772CD"/>
    <w:rsid w:val="00986B19"/>
    <w:rsid w:val="00993E87"/>
    <w:rsid w:val="009C4F64"/>
    <w:rsid w:val="00A01E5C"/>
    <w:rsid w:val="00A05FC9"/>
    <w:rsid w:val="00A1696F"/>
    <w:rsid w:val="00A512B8"/>
    <w:rsid w:val="00A834AE"/>
    <w:rsid w:val="00A8358C"/>
    <w:rsid w:val="00A90386"/>
    <w:rsid w:val="00A922E3"/>
    <w:rsid w:val="00A955FE"/>
    <w:rsid w:val="00A95EC9"/>
    <w:rsid w:val="00AC2BA4"/>
    <w:rsid w:val="00AD1054"/>
    <w:rsid w:val="00B07AC1"/>
    <w:rsid w:val="00B17966"/>
    <w:rsid w:val="00B441E8"/>
    <w:rsid w:val="00B659EA"/>
    <w:rsid w:val="00B9590B"/>
    <w:rsid w:val="00BD44DB"/>
    <w:rsid w:val="00BF6A5E"/>
    <w:rsid w:val="00C008AE"/>
    <w:rsid w:val="00C45743"/>
    <w:rsid w:val="00C47840"/>
    <w:rsid w:val="00C570DD"/>
    <w:rsid w:val="00C800DD"/>
    <w:rsid w:val="00CA1148"/>
    <w:rsid w:val="00CA6E8E"/>
    <w:rsid w:val="00CC2C7C"/>
    <w:rsid w:val="00CD360E"/>
    <w:rsid w:val="00CD3C7A"/>
    <w:rsid w:val="00D16EA3"/>
    <w:rsid w:val="00D44BC9"/>
    <w:rsid w:val="00D56AC5"/>
    <w:rsid w:val="00D679D8"/>
    <w:rsid w:val="00D9141B"/>
    <w:rsid w:val="00DA374D"/>
    <w:rsid w:val="00DA5DB4"/>
    <w:rsid w:val="00DD00C0"/>
    <w:rsid w:val="00DF1A98"/>
    <w:rsid w:val="00E1544E"/>
    <w:rsid w:val="00E15A80"/>
    <w:rsid w:val="00E20630"/>
    <w:rsid w:val="00E31488"/>
    <w:rsid w:val="00E34A00"/>
    <w:rsid w:val="00E37CD3"/>
    <w:rsid w:val="00E55C1B"/>
    <w:rsid w:val="00EE708D"/>
    <w:rsid w:val="00F020A1"/>
    <w:rsid w:val="00F050CD"/>
    <w:rsid w:val="00F25993"/>
    <w:rsid w:val="00F31121"/>
    <w:rsid w:val="00F402AF"/>
    <w:rsid w:val="00F44FCF"/>
    <w:rsid w:val="00F851C5"/>
    <w:rsid w:val="00FA6FCF"/>
    <w:rsid w:val="00FC7D90"/>
    <w:rsid w:val="00FE277F"/>
    <w:rsid w:val="00FF2048"/>
    <w:rsid w:val="00FF6EB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8F52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footnote text" w:uiPriority="99"/>
    <w:lsdException w:name="header" w:uiPriority="99"/>
    <w:lsdException w:name="page number" w:uiPriority="99"/>
    <w:lsdException w:name="endnote reference" w:uiPriority="99"/>
    <w:lsdException w:name="endnote text" w:uiPriority="99"/>
    <w:lsdException w:name="Hyperlink" w:uiPriority="99"/>
    <w:lsdException w:name="Emphasis" w:uiPriority="20"/>
    <w:lsdException w:name="Normal (Web)" w:uiPriority="99"/>
    <w:lsdException w:name="List Paragraph" w:uiPriority="34" w:qFormat="1"/>
  </w:latentStyles>
  <w:style w:type="paragraph" w:default="1" w:styleId="Normal">
    <w:name w:val="Normal"/>
    <w:qFormat/>
    <w:rsid w:val="00794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55FE"/>
    <w:pPr>
      <w:ind w:left="720"/>
      <w:contextualSpacing/>
    </w:pPr>
  </w:style>
  <w:style w:type="paragraph" w:styleId="FootnoteText">
    <w:name w:val="footnote text"/>
    <w:basedOn w:val="Normal"/>
    <w:link w:val="FootnoteTextChar"/>
    <w:uiPriority w:val="99"/>
    <w:unhideWhenUsed/>
    <w:rsid w:val="00A955FE"/>
  </w:style>
  <w:style w:type="character" w:customStyle="1" w:styleId="FootnoteTextChar">
    <w:name w:val="Footnote Text Char"/>
    <w:basedOn w:val="DefaultParagraphFont"/>
    <w:link w:val="FootnoteText"/>
    <w:uiPriority w:val="99"/>
    <w:rsid w:val="00A955FE"/>
  </w:style>
  <w:style w:type="character" w:styleId="FootnoteReference">
    <w:name w:val="footnote reference"/>
    <w:basedOn w:val="DefaultParagraphFont"/>
    <w:semiHidden/>
    <w:unhideWhenUsed/>
    <w:rsid w:val="00A955FE"/>
    <w:rPr>
      <w:vertAlign w:val="superscript"/>
    </w:rPr>
  </w:style>
  <w:style w:type="paragraph" w:styleId="Header">
    <w:name w:val="header"/>
    <w:basedOn w:val="Normal"/>
    <w:link w:val="HeaderChar"/>
    <w:uiPriority w:val="99"/>
    <w:unhideWhenUsed/>
    <w:rsid w:val="00A955FE"/>
    <w:pPr>
      <w:tabs>
        <w:tab w:val="center" w:pos="4320"/>
        <w:tab w:val="right" w:pos="8640"/>
      </w:tabs>
    </w:pPr>
  </w:style>
  <w:style w:type="character" w:customStyle="1" w:styleId="HeaderChar">
    <w:name w:val="Header Char"/>
    <w:basedOn w:val="DefaultParagraphFont"/>
    <w:link w:val="Header"/>
    <w:uiPriority w:val="99"/>
    <w:rsid w:val="00A955FE"/>
  </w:style>
  <w:style w:type="character" w:styleId="PageNumber">
    <w:name w:val="page number"/>
    <w:basedOn w:val="DefaultParagraphFont"/>
    <w:uiPriority w:val="99"/>
    <w:semiHidden/>
    <w:unhideWhenUsed/>
    <w:rsid w:val="00A955FE"/>
  </w:style>
  <w:style w:type="paragraph" w:styleId="EndnoteText">
    <w:name w:val="endnote text"/>
    <w:basedOn w:val="Normal"/>
    <w:link w:val="EndnoteTextChar"/>
    <w:uiPriority w:val="99"/>
    <w:unhideWhenUsed/>
    <w:rsid w:val="00A955FE"/>
  </w:style>
  <w:style w:type="character" w:customStyle="1" w:styleId="EndnoteTextChar">
    <w:name w:val="Endnote Text Char"/>
    <w:basedOn w:val="DefaultParagraphFont"/>
    <w:link w:val="EndnoteText"/>
    <w:uiPriority w:val="99"/>
    <w:rsid w:val="00A955FE"/>
  </w:style>
  <w:style w:type="character" w:styleId="EndnoteReference">
    <w:name w:val="endnote reference"/>
    <w:basedOn w:val="DefaultParagraphFont"/>
    <w:uiPriority w:val="99"/>
    <w:unhideWhenUsed/>
    <w:rsid w:val="00A955FE"/>
    <w:rPr>
      <w:vertAlign w:val="superscript"/>
    </w:rPr>
  </w:style>
  <w:style w:type="character" w:customStyle="1" w:styleId="listdata">
    <w:name w:val="listdata"/>
    <w:basedOn w:val="DefaultParagraphFont"/>
    <w:rsid w:val="00315071"/>
  </w:style>
  <w:style w:type="paragraph" w:styleId="NormalWeb">
    <w:name w:val="Normal (Web)"/>
    <w:basedOn w:val="Normal"/>
    <w:uiPriority w:val="99"/>
    <w:rsid w:val="00315071"/>
    <w:pPr>
      <w:spacing w:beforeLines="1" w:afterLines="1"/>
    </w:pPr>
    <w:rPr>
      <w:rFonts w:ascii="Times" w:hAnsi="Times" w:cs="Times New Roman"/>
      <w:sz w:val="20"/>
      <w:szCs w:val="20"/>
    </w:rPr>
  </w:style>
  <w:style w:type="character" w:styleId="Hyperlink">
    <w:name w:val="Hyperlink"/>
    <w:basedOn w:val="DefaultParagraphFont"/>
    <w:uiPriority w:val="99"/>
    <w:rsid w:val="00315071"/>
    <w:rPr>
      <w:color w:val="0000FF"/>
      <w:u w:val="single"/>
    </w:rPr>
  </w:style>
  <w:style w:type="character" w:customStyle="1" w:styleId="field">
    <w:name w:val="field"/>
    <w:basedOn w:val="DefaultParagraphFont"/>
    <w:rsid w:val="00315071"/>
  </w:style>
  <w:style w:type="character" w:customStyle="1" w:styleId="itxtrstitxtrstspanitxtnowrap">
    <w:name w:val="itxtrst itxtrstspan itxtnowrap"/>
    <w:basedOn w:val="DefaultParagraphFont"/>
    <w:rsid w:val="00315071"/>
  </w:style>
  <w:style w:type="character" w:styleId="Emphasis">
    <w:name w:val="Emphasis"/>
    <w:basedOn w:val="DefaultParagraphFont"/>
    <w:uiPriority w:val="20"/>
    <w:rsid w:val="00315071"/>
    <w:rPr>
      <w:i/>
    </w:rPr>
  </w:style>
  <w:style w:type="paragraph" w:styleId="Footer">
    <w:name w:val="footer"/>
    <w:basedOn w:val="Normal"/>
    <w:link w:val="FooterChar"/>
    <w:rsid w:val="0096174F"/>
    <w:pPr>
      <w:tabs>
        <w:tab w:val="center" w:pos="4320"/>
        <w:tab w:val="right" w:pos="8640"/>
      </w:tabs>
    </w:pPr>
  </w:style>
  <w:style w:type="character" w:customStyle="1" w:styleId="FooterChar">
    <w:name w:val="Footer Char"/>
    <w:basedOn w:val="DefaultParagraphFont"/>
    <w:link w:val="Footer"/>
    <w:rsid w:val="0096174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11</Pages>
  <Words>4907</Words>
  <Characters>27971</Characters>
  <Application>Microsoft Macintosh Word</Application>
  <DocSecurity>0</DocSecurity>
  <Lines>233</Lines>
  <Paragraphs>65</Paragraphs>
  <ScaleCrop>false</ScaleCrop>
  <Company>Home</Company>
  <LinksUpToDate>false</LinksUpToDate>
  <CharactersWithSpaces>32813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Fleming</dc:creator>
  <cp:keywords/>
  <cp:lastModifiedBy>Stephanie Gehring</cp:lastModifiedBy>
  <cp:revision>7</cp:revision>
  <cp:lastPrinted>2014-01-12T12:48:00Z</cp:lastPrinted>
  <dcterms:created xsi:type="dcterms:W3CDTF">2014-02-06T10:49:00Z</dcterms:created>
  <dcterms:modified xsi:type="dcterms:W3CDTF">2014-02-20T15:26:00Z</dcterms:modified>
</cp:coreProperties>
</file>